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Администрация Усть-Погожинского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Дубовского муниципального района </w:t>
      </w:r>
    </w:p>
    <w:p>
      <w:pPr>
        <w:pStyle w:val="Normal"/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Волгоградской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«</w:t>
      </w:r>
      <w:r>
        <w:rPr>
          <w:rFonts w:cs="Times New Roman" w:ascii="Times New Roman" w:hAnsi="Times New Roman"/>
          <w:sz w:val="28"/>
          <w:szCs w:val="28"/>
          <w:lang w:val="ru-RU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  <w:lang w:val="ru-RU"/>
        </w:rPr>
        <w:t>июня</w:t>
      </w:r>
      <w:r>
        <w:rPr>
          <w:rFonts w:cs="Times New Roman" w:ascii="Times New Roman" w:hAnsi="Times New Roman"/>
          <w:sz w:val="28"/>
          <w:szCs w:val="28"/>
        </w:rPr>
        <w:t xml:space="preserve"> 20</w:t>
      </w:r>
      <w:r>
        <w:rPr>
          <w:rFonts w:cs="Times New Roman" w:ascii="Times New Roman" w:hAnsi="Times New Roman"/>
          <w:sz w:val="28"/>
          <w:szCs w:val="28"/>
          <w:lang w:val="ru-RU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г.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u w:val="single"/>
        </w:rPr>
        <w:t>№35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ConsPlusCel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Усть-Погожинского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от «20» декабря 2019 г. № 71  «Об утверждении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 Усть-Погожинского сельского поселения,  расположенных на территории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  <w:t>Усть-Погожинского сельского поселения,</w:t>
      </w:r>
      <w:r>
        <w:rPr>
          <w:rFonts w:cs="Times New Roman" w:ascii="Times New Roman" w:hAnsi="Times New Roman"/>
          <w:b/>
          <w:sz w:val="28"/>
          <w:szCs w:val="28"/>
        </w:rPr>
        <w:t xml:space="preserve"> юридическим лицам в собственность бесплатно» (в редакции от 11.06.2020г.)</w:t>
      </w:r>
    </w:p>
    <w:p>
      <w:pPr>
        <w:pStyle w:val="Normal"/>
        <w:widowControl w:val="false"/>
        <w:autoSpaceDE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и </w:t>
      </w:r>
      <w:hyperlink r:id="rId2">
        <w:r>
          <w:rPr>
            <w:rStyle w:val="InternetLink"/>
            <w:color w:val="000000"/>
            <w:sz w:val="28"/>
            <w:szCs w:val="28"/>
            <w:u w:val="none"/>
          </w:rPr>
          <w:t>статьей</w:t>
        </w:r>
      </w:hyperlink>
      <w:r>
        <w:rPr>
          <w:rStyle w:val="InternetLink"/>
          <w:color w:val="000000"/>
          <w:sz w:val="28"/>
          <w:szCs w:val="28"/>
          <w:u w:val="none"/>
        </w:rPr>
        <w:t xml:space="preserve"> 5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Усть-Погожинского сельского поселения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pacing w:val="3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autoSpaceDE w:val="false"/>
        <w:ind w:start="0" w:end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Усть-Погожинского сельского поселения, и земельных участков,  расположенных на территории Усть-Погожинского сельского поселения</w:t>
      </w:r>
      <w:r>
        <w:rPr>
          <w:i w:val="false"/>
          <w:iCs w:val="false"/>
          <w:sz w:val="28"/>
          <w:szCs w:val="28"/>
          <w:u w:val="none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 в собственность бесплатно», утвержденный постановлением администрации Усть-Погожинского сельского поселения от «20» декабря 2020 г. № 71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(в редакции от 11.06.2020г.)</w:t>
      </w:r>
      <w:r>
        <w:rPr>
          <w:sz w:val="28"/>
          <w:szCs w:val="28"/>
        </w:rPr>
        <w:t>, следующие изменения: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1) пункт 1.2.1 </w:t>
      </w:r>
      <w:r>
        <w:rPr>
          <w:rFonts w:eastAsia="Calibri"/>
          <w:sz w:val="28"/>
          <w:szCs w:val="28"/>
        </w:rPr>
        <w:t>исключить</w:t>
      </w:r>
      <w:r>
        <w:rPr>
          <w:sz w:val="28"/>
          <w:szCs w:val="28"/>
        </w:rPr>
        <w:t xml:space="preserve">; 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пункты 1.2.2-1.2.4 считать пунктами 1.2.1-1.2.3;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3) в пункте 1.2.1 слова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(п. 2 ст. 39.5 ЗК РФ)» заменить словами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п. 2 ст. 39.5 Земельного кодекса Российской Федерации, далее также – ЗК      РФ)»;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абзац четвертый пункта 1.3.2 изложить в следующей редакции: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«в сети Интернет на официальном сайте администрации Усть-Погожинского сельского поселения (</w:t>
      </w:r>
      <w:r>
        <w:rPr>
          <w:rFonts w:cs="Times New Roman" w:ascii="Times New Roman" w:hAnsi="Times New Roman"/>
          <w:sz w:val="28"/>
          <w:szCs w:val="28"/>
        </w:rPr>
        <w:t>http://усть-погожье34.рф/</w:t>
      </w:r>
      <w:r>
        <w:rPr>
          <w:sz w:val="28"/>
          <w:szCs w:val="28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3">
        <w:r>
          <w:rPr>
            <w:rStyle w:val="InternetLink"/>
            <w:sz w:val="28"/>
            <w:szCs w:val="28"/>
            <w:lang w:val="en-US"/>
          </w:rPr>
          <w:t>www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gosuslugi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), в государственной информационной системе «Портал государственных и муниципальных услуг (функций) Волгоградской области» (</w:t>
      </w:r>
      <w:hyperlink r:id="rId4">
        <w:r>
          <w:rPr>
            <w:rStyle w:val="InternetLink"/>
            <w:sz w:val="28"/>
            <w:szCs w:val="28"/>
          </w:rPr>
          <w:t>http://uslugi.volganet.ru</w:t>
        </w:r>
      </w:hyperlink>
      <w:r>
        <w:rPr>
          <w:sz w:val="28"/>
          <w:szCs w:val="28"/>
        </w:rPr>
        <w:t xml:space="preserve">) (далее - Региональный портал государственных и муниципальных услуг), (далее также именуются – информационные системы).»; 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2.5 изложить в следующей редакции: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«2.5. Правовой основой для предоставления муниципальной услуги являются следующие нормативные правовые акты:</w:t>
      </w:r>
    </w:p>
    <w:p>
      <w:pPr>
        <w:pStyle w:val="Normal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>
      <w:pPr>
        <w:pStyle w:val="Normal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>
      <w:pPr>
        <w:pStyle w:val="Normal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№ 204 - 205, 30.10.2001, «Российская газета», № 211 - 212, 30.10.2001);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24.07.2007 № 221-ФЗ «О кадастровой деятельности» («Российская газета», № 165, 01.08.2007, «Собрание законодательства Российской Федерации», 2007, № 31, ст. 4017, «Парламентская газета», № 99-101, 09.08.2007);</w:t>
      </w:r>
    </w:p>
    <w:p>
      <w:pPr>
        <w:pStyle w:val="Normal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>
      <w:pPr>
        <w:pStyle w:val="Normal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  № 15, ст. 2036);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13.07.2015 № 218-ФЗ «О государственной регистрации недвижимости» («Российская газета», №156, 17.07.2015, «Собрание законодательства РФ», 20.07.2015, №29 (часть I), ст. 4344);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Федеральный </w:t>
      </w:r>
      <w:hyperlink r:id="rId5">
        <w:r>
          <w:rPr>
            <w:rStyle w:val="InternetLink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29.07.2017 № 216-ФЗ «Об инновационных научно-технологических центрах и о внесении изменений в отдельные законодательные акты Российской Федерации» (Официальный интернет-портал правовой информации http://www.pravo.gov.ru, 30.07.2017, «Собрание законодательства РФ», 31.07.2017, № 31 (Часть I), ст. 4765, «Российская газета», № 172, 04.08.2017);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25.06.2012  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25.08.2012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         № 200);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>
      <w:pPr>
        <w:pStyle w:val="Normal"/>
        <w:autoSpaceDE w:val="false"/>
        <w:ind w:start="0" w:end="0" w:firstLine="540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 экономического развития Российской Федерации</w:t>
      </w:r>
      <w:r>
        <w:rPr>
          <w:rFonts w:cs="Times New Roman CYR" w:ascii="Times New Roman CYR" w:hAnsi="Times New Roman CYR"/>
          <w:sz w:val="28"/>
          <w:szCs w:val="28"/>
        </w:rPr>
        <w:t xml:space="preserve"> от 27.11.2014 № 762 </w:t>
      </w:r>
      <w:r>
        <w:rPr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sz w:val="28"/>
          <w:szCs w:val="28"/>
        </w:rPr>
        <w:t>» (</w:t>
      </w:r>
      <w:r>
        <w:rPr>
          <w:rFonts w:cs="Times New Roman CYR" w:ascii="Times New Roman CYR" w:hAnsi="Times New Roman CYR"/>
          <w:sz w:val="28"/>
          <w:szCs w:val="28"/>
        </w:rPr>
        <w:t>Официальный интернет-портал правовой информации http://www.pravo.gov.ru, 18.02.2015);</w:t>
      </w:r>
    </w:p>
    <w:p>
      <w:pPr>
        <w:pStyle w:val="Normal"/>
        <w:ind w:start="0" w:end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>
      <w:pPr>
        <w:pStyle w:val="Normal"/>
        <w:ind w:start="0" w:end="0" w:firstLine="540"/>
        <w:jc w:val="both"/>
        <w:rPr/>
      </w:pPr>
      <w:r>
        <w:rPr>
          <w:sz w:val="28"/>
          <w:szCs w:val="28"/>
        </w:rPr>
        <w:t xml:space="preserve"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</w:t>
      </w:r>
      <w:r>
        <w:rPr>
          <w:sz w:val="24"/>
          <w:szCs w:val="24"/>
        </w:rPr>
        <w:t>02.10.2020);</w:t>
      </w:r>
    </w:p>
    <w:p>
      <w:pPr>
        <w:pStyle w:val="ConsPlusNormal1"/>
        <w:ind w:start="0" w:end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Волгоградской области от 09.11.2015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Устав Усть-Погожинского сельского поселения.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 подпункт 4 пункта 2.6.1.2 изложить в следующей редакции:</w:t>
      </w:r>
    </w:p>
    <w:p>
      <w:pPr>
        <w:pStyle w:val="Normal"/>
        <w:autoSpaceDE w:val="false"/>
        <w:ind w:start="0" w:end="0" w:firstLine="54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«4) документы, подтверждающие право заявителя на приобретение земельного участка без проведения торгов, в том числе:</w:t>
      </w:r>
    </w:p>
    <w:p>
      <w:pPr>
        <w:pStyle w:val="Normal"/>
        <w:autoSpaceDE w:val="false"/>
        <w:ind w:start="0" w:end="0" w:firstLine="54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а) для заявителей, указанных в пункте 1.2.1 настоящего административного регламента: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(устанавливающий) права заявителя на здание, сооружение, если право на такое здание, сооружение не зарегистрировано в Едином  государственном реестре недвижимости (далее – ЕГРН); 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б) для заявителей, указанных в пункте 1.2.2 настоящего административного регламента: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подтверждающие право на приобретение земельного участка, установленные законодательством Российской Федерации.»; 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7) подпункты 1 - 3 пункта 2.6.3 изложить в следующей редакции: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«1) для заявителей, указанных в пункте 1.2.1 настоящего административного регламента: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color w:val="2D2D2D"/>
          <w:spacing w:val="2"/>
          <w:sz w:val="28"/>
          <w:szCs w:val="28"/>
          <w:shd w:fill="FFFFFF" w:val="clear"/>
        </w:rPr>
        <w:t xml:space="preserve"> </w:t>
      </w:r>
      <w:r>
        <w:rPr>
          <w:color w:val="2D2D2D"/>
          <w:spacing w:val="2"/>
          <w:sz w:val="28"/>
          <w:szCs w:val="28"/>
          <w:shd w:fill="FFFFFF" w:val="clear"/>
        </w:rPr>
        <w:t xml:space="preserve">а) </w:t>
      </w:r>
      <w:r>
        <w:rPr>
          <w:sz w:val="28"/>
          <w:szCs w:val="28"/>
        </w:rPr>
        <w:t>выписка из ЕГРН об объекте недвижимости (об испрашиваемом земельном участке);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б) выписка из ЕГРН об объекте недвижимости (о здании и (или) сооружении, расположенном(ых) на испрашиваемом земельном участке);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в) выписка из ЕГРЮЛ о юридическом лице, являющемся заявителем;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2) для заявителей, указанных в пункте 1.2.2 настоящего административного регламента: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выписка из ЕГРН об объекте недвижимости (об испрашиваемом земельном участке);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для заявителей, указанных в пункте 1.2.3 настоящего административного регламента: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color w:val="2D2D2D"/>
          <w:spacing w:val="2"/>
          <w:sz w:val="28"/>
          <w:szCs w:val="28"/>
          <w:shd w:fill="FFFFFF" w:val="clear"/>
        </w:rPr>
        <w:t xml:space="preserve"> </w:t>
      </w:r>
      <w:r>
        <w:rPr>
          <w:color w:val="2D2D2D"/>
          <w:spacing w:val="2"/>
          <w:sz w:val="28"/>
          <w:szCs w:val="28"/>
          <w:shd w:fill="FFFFFF" w:val="clear"/>
        </w:rPr>
        <w:t xml:space="preserve">а) </w:t>
      </w:r>
      <w:r>
        <w:rPr>
          <w:sz w:val="28"/>
          <w:szCs w:val="28"/>
        </w:rPr>
        <w:t>выписка из ЕГРН об объекте недвижимости (об испрашиваемом земельном участке);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б) выписка из ЕГРЮЛ о юридическом лице, являющемся заявителем.»;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подпункте 3 пункта 2.10.2 слова «О государственном кадастре недвижимости» заменить словами «О государственной регистрации недвижимости»;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пункте 2.11: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 исключить;</w:t>
      </w:r>
    </w:p>
    <w:p>
      <w:pPr>
        <w:pStyle w:val="Normal"/>
        <w:ind w:start="0" w:end="0" w:firstLine="54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hyperlink r:id="rId6">
        <w:r>
          <w:rPr>
            <w:rStyle w:val="InternetLink"/>
            <w:color w:val="000000"/>
            <w:sz w:val="28"/>
            <w:szCs w:val="28"/>
            <w:u w:val="none"/>
          </w:rPr>
          <w:t>подпункте 9</w:t>
        </w:r>
      </w:hyperlink>
      <w:r>
        <w:rPr>
          <w:sz w:val="28"/>
          <w:szCs w:val="28"/>
        </w:rPr>
        <w:t xml:space="preserve"> слова «развитии  застроенной  территории» заменить словами «комплексном развитии территории», слово «освоении» заменить словом «развитии»;</w:t>
      </w:r>
    </w:p>
    <w:p>
      <w:pPr>
        <w:pStyle w:val="Normal"/>
        <w:ind w:start="0" w:end="0" w:firstLine="54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hyperlink r:id="rId7">
        <w:r>
          <w:rPr>
            <w:rStyle w:val="InternetLink"/>
            <w:color w:val="000000"/>
            <w:sz w:val="28"/>
            <w:szCs w:val="28"/>
            <w:u w:val="none"/>
          </w:rPr>
          <w:t>подпункте 10</w:t>
        </w:r>
      </w:hyperlink>
      <w:r>
        <w:rPr>
          <w:sz w:val="28"/>
          <w:szCs w:val="28"/>
        </w:rPr>
        <w:t xml:space="preserve"> слова «освоении территории или договор о развитии застроенной» заменить словом «развитии»;</w:t>
      </w:r>
    </w:p>
    <w:p>
      <w:pPr>
        <w:pStyle w:val="Normal"/>
        <w:autoSpaceDE w:val="false"/>
        <w:ind w:start="0" w:end="0"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10) абзац четырнадцатый пункта 2.15.4 изложить в следующей редакции:</w:t>
      </w:r>
    </w:p>
    <w:p>
      <w:pPr>
        <w:pStyle w:val="Normal"/>
        <w:autoSpaceDE w:val="false"/>
        <w:ind w:start="0" w:end="0"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8">
        <w:r>
          <w:rPr>
            <w:rStyle w:val="InternetLink"/>
            <w:sz w:val="28"/>
            <w:szCs w:val="28"/>
            <w:lang w:val="en-US"/>
          </w:rPr>
          <w:t>www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gosuslugi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), на Региональном портале государственных и муниципальных услуг (</w:t>
      </w:r>
      <w:hyperlink r:id="rId9">
        <w:r>
          <w:rPr>
            <w:rStyle w:val="InternetLink"/>
            <w:sz w:val="28"/>
            <w:szCs w:val="28"/>
          </w:rPr>
          <w:t>http://uslugi.volganet.ru</w:t>
        </w:r>
      </w:hyperlink>
      <w:r>
        <w:rPr>
          <w:sz w:val="28"/>
          <w:szCs w:val="28"/>
        </w:rPr>
        <w:t>) и официальном сайте уполномоченного органа (</w:t>
      </w:r>
      <w:r>
        <w:rPr>
          <w:rFonts w:cs="Times New Roman" w:ascii="Times New Roman" w:hAnsi="Times New Roman"/>
          <w:sz w:val="28"/>
          <w:szCs w:val="28"/>
        </w:rPr>
        <w:t>http://усть-погожье34.рф/</w:t>
      </w:r>
      <w:r>
        <w:rPr>
          <w:sz w:val="28"/>
          <w:szCs w:val="28"/>
        </w:rPr>
        <w:t>).»;</w:t>
      </w:r>
    </w:p>
    <w:p>
      <w:pPr>
        <w:pStyle w:val="Normal"/>
        <w:autoSpaceDE w:val="false"/>
        <w:ind w:start="0" w:end="0"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11) в пункте 3.1.5 слова «(далее - Приказ № 1)» заменить словами «(далее - Приказ № 7)»;</w:t>
      </w:r>
    </w:p>
    <w:p>
      <w:pPr>
        <w:pStyle w:val="Normal"/>
        <w:autoSpaceDE w:val="false"/>
        <w:ind w:start="0" w:end="0"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12) в </w:t>
      </w:r>
      <w:hyperlink r:id="rId10">
        <w:r>
          <w:rPr>
            <w:rStyle w:val="InternetLink"/>
            <w:sz w:val="28"/>
            <w:szCs w:val="28"/>
          </w:rPr>
          <w:t xml:space="preserve">подпунктах 2, 4 и 5 </w:t>
        </w:r>
      </w:hyperlink>
      <w:r>
        <w:rPr>
          <w:sz w:val="28"/>
          <w:szCs w:val="28"/>
        </w:rPr>
        <w:t>пункта 3.5.3 слова «, лесопарком»,                  «, лесопарки», «, лесопарков» исключить;</w:t>
      </w:r>
    </w:p>
    <w:p>
      <w:pPr>
        <w:pStyle w:val="Normal"/>
        <w:autoSpaceDE w:val="false"/>
        <w:ind w:start="0" w:end="0"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13) в пункте 3.7.5 слова «Приказа № 1» заменить словами «Приказа № 7».</w:t>
      </w:r>
    </w:p>
    <w:p>
      <w:pPr>
        <w:pStyle w:val="Normal"/>
        <w:autoSpaceDE w:val="false"/>
        <w:ind w:start="0" w:end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start="0" w:end="0"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>
      <w:pPr>
        <w:pStyle w:val="Normal"/>
        <w:widowControl w:val="false"/>
        <w:autoSpaceDE w:val="false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pageBreakBefore w:val="false"/>
        <w:tabs>
          <w:tab w:val="left" w:pos="360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ru-RU" w:eastAsia="en-US"/>
        </w:rPr>
        <w:t>Г</w:t>
      </w:r>
      <w:r>
        <w:rPr>
          <w:rFonts w:cs="Times New Roman" w:ascii="Times New Roman" w:hAnsi="Times New Roman"/>
          <w:sz w:val="28"/>
          <w:szCs w:val="28"/>
          <w:lang w:eastAsia="en-US"/>
        </w:rPr>
        <w:t>лав</w:t>
      </w:r>
      <w:r>
        <w:rPr>
          <w:rFonts w:cs="Times New Roman" w:ascii="Times New Roman" w:hAnsi="Times New Roman"/>
          <w:sz w:val="28"/>
          <w:szCs w:val="28"/>
          <w:lang w:val="ru-RU" w:eastAsia="en-US"/>
        </w:rPr>
        <w:t>а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Усть-Погожинского</w:t>
      </w:r>
    </w:p>
    <w:p>
      <w:pPr>
        <w:pStyle w:val="Normal"/>
        <w:keepNext w:val="false"/>
        <w:keepLines w:val="false"/>
        <w:widowControl w:val="false"/>
        <w:tabs>
          <w:tab w:val="left" w:pos="360" w:leader="none"/>
        </w:tabs>
        <w:suppressAutoHyphens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сельского поселения:                                                     Э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.А. Сулейман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>ов</w:t>
      </w:r>
    </w:p>
    <w:sectPr>
      <w:headerReference w:type="default" r:id="rId11"/>
      <w:headerReference w:type="first" r:id="rId12"/>
      <w:type w:val="nextPage"/>
      <w:pgSz w:w="11906" w:h="16838"/>
      <w:pgMar w:left="1701" w:right="1134" w:header="709" w:top="1077" w:footer="0" w:bottom="90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pt;height:11.5pt;mso-wrap-distance-left:0pt;mso-wrap-distance-right:0pt;mso-wrap-distance-top:0pt;mso-wrap-distance-bottom:0pt;margin-top:0.05pt;mso-position-vertical-relative:text;margin-left:224.2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  <w:rPr/>
    </w:lvl>
    <w:lvl w:ilvl="1">
      <w:start w:val="1"/>
      <w:pStyle w:val="Heading2"/>
      <w:numFmt w:val="none"/>
      <w:suff w:val="nothing"/>
      <w:lvlText w:val=""/>
      <w:lvlJc w:val="start"/>
      <w:pPr>
        <w:ind w:start="0" w:hanging="0"/>
      </w:pPr>
      <w:rPr/>
    </w:lvl>
    <w:lvl w:ilvl="2">
      <w:start w:val="1"/>
      <w:pStyle w:val="Heading3"/>
      <w:numFmt w:val="none"/>
      <w:suff w:val="nothing"/>
      <w:lvlText w:val=""/>
      <w:lvlJc w:val="start"/>
      <w:pPr>
        <w:ind w:start="0" w:hanging="0"/>
      </w:pPr>
      <w:rPr/>
    </w:lvl>
    <w:lvl w:ilvl="3">
      <w:start w:val="1"/>
      <w:pStyle w:val="Heading4"/>
      <w:numFmt w:val="none"/>
      <w:suff w:val="nothing"/>
      <w:lvlText w:val=""/>
      <w:lvlJc w:val="start"/>
      <w:pPr>
        <w:ind w:start="0" w:hanging="0"/>
      </w:pPr>
      <w:rPr/>
    </w:lvl>
    <w:lvl w:ilvl="4">
      <w:start w:val="1"/>
      <w:pStyle w:val="Heading5"/>
      <w:numFmt w:val="none"/>
      <w:suff w:val="nothing"/>
      <w:lvlText w:val=""/>
      <w:lvlJc w:val="start"/>
      <w:pPr>
        <w:ind w:start="0" w:hanging="0"/>
      </w:pPr>
      <w:rPr/>
    </w:lvl>
    <w:lvl w:ilvl="5">
      <w:start w:val="1"/>
      <w:pStyle w:val="Heading6"/>
      <w:numFmt w:val="none"/>
      <w:suff w:val="nothing"/>
      <w:lvlText w:val=""/>
      <w:lvlJc w:val="start"/>
      <w:pPr>
        <w:ind w:start="0" w:hanging="0"/>
      </w:pPr>
      <w:rPr/>
    </w:lvl>
    <w:lvl w:ilvl="6">
      <w:start w:val="1"/>
      <w:pStyle w:val="Heading7"/>
      <w:numFmt w:val="none"/>
      <w:suff w:val="nothing"/>
      <w:lvlText w:val=""/>
      <w:lvlJc w:val="start"/>
      <w:pPr>
        <w:ind w:start="0" w:hanging="0"/>
      </w:pPr>
      <w:rPr/>
    </w:lvl>
    <w:lvl w:ilvl="7">
      <w:start w:val="1"/>
      <w:pStyle w:val="Heading8"/>
      <w:numFmt w:val="none"/>
      <w:suff w:val="nothing"/>
      <w:lvlText w:val=""/>
      <w:lvlJc w:val="start"/>
      <w:pPr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end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end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start="3969" w:end="0" w:hanging="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start="4820" w:end="-738" w:hanging="0"/>
      <w:outlineLvl w:val="7"/>
    </w:pPr>
    <w:rPr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6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PageNumber">
    <w:name w:val="Page Number"/>
    <w:basedOn w:val="Style6"/>
    <w:rPr/>
  </w:style>
  <w:style w:type="character" w:styleId="InternetLink">
    <w:name w:val="Internet Link"/>
    <w:rPr>
      <w:color w:val="0000FF"/>
      <w:u w:val="single"/>
    </w:rPr>
  </w:style>
  <w:style w:type="character" w:styleId="13">
    <w:name w:val="Обычный +13 пт Знак"/>
    <w:qFormat/>
    <w:rPr>
      <w:rFonts w:ascii="Arial" w:hAnsi="Arial" w:cs="Arial"/>
      <w:sz w:val="18"/>
      <w:szCs w:val="18"/>
      <w:lang w:val="ru-RU" w:bidi="ar-SA"/>
    </w:rPr>
  </w:style>
  <w:style w:type="character" w:styleId="FontStyle15">
    <w:name w:val="Font Style15"/>
    <w:qFormat/>
    <w:rPr>
      <w:rFonts w:ascii="Times New Roman" w:hAnsi="Times New Roman" w:cs="Times New Roman"/>
      <w:color w:val="000000"/>
      <w:sz w:val="26"/>
      <w:szCs w:val="26"/>
    </w:rPr>
  </w:style>
  <w:style w:type="character" w:styleId="S11">
    <w:name w:val="s11"/>
    <w:qFormat/>
    <w:rPr>
      <w:rFonts w:cs="Times New Roman"/>
      <w:color w:val="000000"/>
    </w:rPr>
  </w:style>
  <w:style w:type="character" w:styleId="Snippetequal">
    <w:name w:val="snippet_equal"/>
    <w:basedOn w:val="Style6"/>
    <w:qFormat/>
    <w:rPr/>
  </w:style>
  <w:style w:type="character" w:styleId="Blk">
    <w:name w:val="blk"/>
    <w:qFormat/>
    <w:rPr/>
  </w:style>
  <w:style w:type="character" w:styleId="Style7">
    <w:name w:val="Гипертекстовая ссылка"/>
    <w:qFormat/>
    <w:rPr>
      <w:b/>
      <w:bCs/>
      <w:color w:val="106BBE"/>
      <w:sz w:val="26"/>
      <w:szCs w:val="26"/>
    </w:rPr>
  </w:style>
  <w:style w:type="character" w:styleId="Style8">
    <w:name w:val="Символ концевой сноски"/>
    <w:qFormat/>
    <w:rPr>
      <w:vertAlign w:val="superscript"/>
    </w:rPr>
  </w:style>
  <w:style w:type="character" w:styleId="Style9">
    <w:name w:val="Символ сноски"/>
    <w:qFormat/>
    <w:rPr>
      <w:vertAlign w:val="superscript"/>
    </w:rPr>
  </w:style>
  <w:style w:type="character" w:styleId="Style10">
    <w:name w:val=" Знак Знак"/>
    <w:basedOn w:val="Style6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1">
    <w:name w:val="Заголовок"/>
    <w:basedOn w:val="Normal"/>
    <w:next w:val="TextBody"/>
    <w:qFormat/>
    <w:pPr>
      <w:keepLines/>
      <w:widowControl w:val="false"/>
      <w:ind w:start="0" w:end="0" w:firstLine="567"/>
      <w:jc w:val="center"/>
    </w:pPr>
    <w:rPr>
      <w:rFonts w:ascii="Arial" w:hAnsi="Arial" w:cs="Arial"/>
      <w:b/>
      <w:kern w:val="2"/>
      <w:sz w:val="28"/>
      <w:szCs w:val="24"/>
    </w:rPr>
  </w:style>
  <w:style w:type="paragraph" w:styleId="Style1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TextBodyIndent">
    <w:name w:val="Body Text Indent"/>
    <w:basedOn w:val="Normal"/>
    <w:pPr>
      <w:ind w:start="0" w:end="0" w:firstLine="709"/>
      <w:jc w:val="both"/>
    </w:pPr>
    <w:rPr>
      <w:b/>
      <w:sz w:val="24"/>
    </w:rPr>
  </w:style>
  <w:style w:type="paragraph" w:styleId="Style14">
    <w:name w:val="Цитата"/>
    <w:basedOn w:val="Normal"/>
    <w:qFormat/>
    <w:pPr>
      <w:ind w:start="3969" w:end="-738" w:firstLine="851"/>
    </w:pPr>
    <w:rPr>
      <w:b/>
      <w:sz w:val="28"/>
    </w:rPr>
  </w:style>
  <w:style w:type="paragraph" w:styleId="2">
    <w:name w:val="Основной текст с отступом 2"/>
    <w:basedOn w:val="Normal"/>
    <w:qFormat/>
    <w:pPr>
      <w:ind w:start="4395" w:end="0" w:hanging="0"/>
    </w:pPr>
    <w:rPr>
      <w:b/>
      <w:sz w:val="28"/>
    </w:rPr>
  </w:style>
  <w:style w:type="paragraph" w:styleId="21">
    <w:name w:val="Основной текст 2"/>
    <w:basedOn w:val="Normal"/>
    <w:qFormat/>
    <w:pPr>
      <w:ind w:start="0" w:end="-286" w:hanging="0"/>
      <w:jc w:val="both"/>
    </w:pPr>
    <w:rPr>
      <w:b/>
      <w:sz w:val="28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6">
    <w:name w:val="Абзац списка"/>
    <w:basedOn w:val="Normal"/>
    <w:qFormat/>
    <w:pPr>
      <w:spacing w:lineRule="auto" w:line="276" w:before="0" w:after="200"/>
      <w:ind w:start="720" w:end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sPlusNormal1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211">
    <w:name w:val="Основной текст 21"/>
    <w:basedOn w:val="Normal"/>
    <w:qFormat/>
    <w:pPr>
      <w:suppressAutoHyphens w:val="true"/>
      <w:ind w:start="0" w:end="0" w:firstLine="567"/>
      <w:jc w:val="both"/>
    </w:pPr>
    <w:rPr>
      <w:rFonts w:ascii="Arial" w:hAnsi="Arial" w:cs="Arial"/>
      <w:sz w:val="24"/>
      <w:szCs w:val="24"/>
    </w:rPr>
  </w:style>
  <w:style w:type="paragraph" w:styleId="131">
    <w:name w:val="Обычный +13 пт"/>
    <w:basedOn w:val="Normal"/>
    <w:qFormat/>
    <w:pPr>
      <w:ind w:start="0" w:end="0" w:firstLine="567"/>
      <w:jc w:val="both"/>
    </w:pPr>
    <w:rPr>
      <w:rFonts w:ascii="Arial" w:hAnsi="Arial" w:cs="Arial"/>
      <w:sz w:val="18"/>
      <w:szCs w:val="18"/>
    </w:rPr>
  </w:style>
  <w:style w:type="paragraph" w:styleId="Text">
    <w:name w:val="text"/>
    <w:basedOn w:val="Normal"/>
    <w:qFormat/>
    <w:pPr>
      <w:ind w:start="0" w:end="0" w:firstLine="567"/>
      <w:jc w:val="both"/>
    </w:pPr>
    <w:rPr>
      <w:rFonts w:ascii="Arial" w:hAnsi="Arial" w:cs="Arial"/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322"/>
      <w:ind w:start="0" w:end="0" w:firstLine="696"/>
      <w:jc w:val="both"/>
    </w:pPr>
    <w:rPr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1">
    <w:name w:val="Знак Знак Знак Знак1"/>
    <w:basedOn w:val="Normal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styleId="Style18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Consplusnormal2">
    <w:name w:val="consplusnormal"/>
    <w:basedOn w:val="Normal"/>
    <w:qFormat/>
    <w:pPr>
      <w:autoSpaceDE w:val="false"/>
    </w:pPr>
    <w:rPr>
      <w:rFonts w:ascii="Arial" w:hAnsi="Arial" w:cs="Arial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9">
    <w:name w:val="Знак"/>
    <w:basedOn w:val="Normal"/>
    <w:qFormat/>
    <w:pPr>
      <w:spacing w:lineRule="exact" w:line="240" w:before="0" w:after="160"/>
      <w:ind w:start="0" w:end="0" w:firstLine="567"/>
      <w:jc w:val="both"/>
    </w:pPr>
    <w:rPr>
      <w:rFonts w:ascii="Arial" w:hAnsi="Arial" w:cs="Arial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Endnote">
    <w:name w:val="Endnote Text"/>
    <w:basedOn w:val="Normal"/>
    <w:pPr/>
    <w:rPr/>
  </w:style>
  <w:style w:type="paragraph" w:styleId="Footnote">
    <w:name w:val="Footnote Text"/>
    <w:basedOn w:val="Normal"/>
    <w:pPr/>
    <w:rPr/>
  </w:style>
  <w:style w:type="paragraph" w:styleId="Style20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C76B7F0E8F60E82C2F711E20CF6AA4711832C036D3773CCF38F904B00111DDA3EA671E0E876A547348764v1g1H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uslugi.volganet.ru/" TargetMode="External"/><Relationship Id="rId5" Type="http://schemas.openxmlformats.org/officeDocument/2006/relationships/hyperlink" Target="consultantplus://offline/ref=F6002C6F7BE76B4C1B935739C03B633F13824C2E8663BAE04664D44477W9zFM" TargetMode="External"/><Relationship Id="rId6" Type="http://schemas.openxmlformats.org/officeDocument/2006/relationships/hyperlink" Target="https://login.consultant.ru/link/?rnd=88E9430EBCC72FF704FA97AC90125E1C&amp;req=doc&amp;base=LAW&amp;n=371752&amp;dst=820&amp;fld=134&amp;REFFIELD=134&amp;REFDST=100325&amp;REFDOC=372677&amp;REFBASE=LAW&amp;stat=refcode%3D10677%3Bdstident%3D820%3Bindex%3D358&amp;date=20.01.2021" TargetMode="External"/><Relationship Id="rId7" Type="http://schemas.openxmlformats.org/officeDocument/2006/relationships/hyperlink" Target="https://login.consultant.ru/link/?rnd=88E9430EBCC72FF704FA97AC90125E1C&amp;req=doc&amp;base=LAW&amp;n=371752&amp;dst=821&amp;fld=134&amp;REFFIELD=134&amp;REFDST=100326&amp;REFDOC=372677&amp;REFBASE=LAW&amp;stat=refcode%3D10677%3Bdstident%3D821%3Bindex%3D359&amp;date=20.01.2021" TargetMode="External"/><Relationship Id="rId8" Type="http://schemas.openxmlformats.org/officeDocument/2006/relationships/hyperlink" Target="http://www.gosuslugi.ru/" TargetMode="External"/><Relationship Id="rId9" Type="http://schemas.openxmlformats.org/officeDocument/2006/relationships/hyperlink" Target="http://uslugi.volganet.ru/" TargetMode="External"/><Relationship Id="rId10" Type="http://schemas.openxmlformats.org/officeDocument/2006/relationships/hyperlink" Target="https://login.consultant.ru/link/?rnd=43C0C0CA1A87F4B01F10DA3EBE7B5727&amp;req=doc&amp;base=LAW&amp;n=324072&amp;dst=201&amp;fld=134&amp;REFFIELD=134&amp;REFDST=100248&amp;REFDOC=314666&amp;REFBASE=LAW&amp;stat=refcode%3D10677%3Bdstident%3D201%3Bindex%3D321&amp;date=07.02.2021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LibreOffice/6.0.1.1$Linux_X86_64 LibreOffice_project/60bfb1526849283ce2491346ed2aa51c465abfe6</Application>
  <Pages>5</Pages>
  <Words>1382</Words>
  <Characters>10446</Characters>
  <CharactersWithSpaces>12028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2021-05-12T09:21:00Z</dcterms:created>
  <dc:creator>111</dc:creator>
  <dc:description/>
  <dc:language>en-US</dc:language>
  <cp:lastModifiedBy/>
  <cp:lastPrinted>2021-06-23T16:34:00Z</cp:lastPrinted>
  <dcterms:modified xsi:type="dcterms:W3CDTF">2021-06-23T16:34:43Z</dcterms:modified>
  <cp:revision>3</cp:revision>
  <dc:subject/>
  <dc:title>Начальнику  управления финансов</dc:title>
</cp:coreProperties>
</file>