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Волгоградской области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от «</w:t>
      </w:r>
      <w:r>
        <w:rPr>
          <w:rFonts w:cs="Arial" w:ascii="Arial" w:hAnsi="Arial"/>
          <w:sz w:val="24"/>
          <w:szCs w:val="24"/>
          <w:lang w:val="ru-RU"/>
        </w:rPr>
        <w:t>18</w:t>
      </w:r>
      <w:r>
        <w:rPr>
          <w:rFonts w:cs="Arial" w:ascii="Arial" w:hAnsi="Arial"/>
          <w:sz w:val="24"/>
          <w:szCs w:val="24"/>
        </w:rPr>
        <w:t xml:space="preserve">» </w:t>
      </w:r>
      <w:r>
        <w:rPr>
          <w:rFonts w:cs="Arial" w:ascii="Arial" w:hAnsi="Arial"/>
          <w:sz w:val="24"/>
          <w:szCs w:val="24"/>
          <w:lang w:val="ru-RU"/>
        </w:rPr>
        <w:t>июня</w:t>
      </w:r>
      <w:r>
        <w:rPr>
          <w:rFonts w:cs="Arial" w:ascii="Arial" w:hAnsi="Arial"/>
          <w:sz w:val="24"/>
          <w:szCs w:val="24"/>
        </w:rPr>
        <w:t xml:space="preserve"> 20</w:t>
      </w:r>
      <w:r>
        <w:rPr>
          <w:rFonts w:cs="Arial" w:ascii="Arial" w:hAnsi="Arial"/>
          <w:sz w:val="24"/>
          <w:szCs w:val="24"/>
          <w:lang w:val="ru-RU"/>
        </w:rPr>
        <w:t>21</w:t>
      </w:r>
      <w:r>
        <w:rPr>
          <w:rFonts w:cs="Arial" w:ascii="Arial" w:hAnsi="Arial"/>
          <w:sz w:val="24"/>
          <w:szCs w:val="24"/>
        </w:rPr>
        <w:t xml:space="preserve">г.                                                                                </w:t>
      </w:r>
      <w:r>
        <w:rPr>
          <w:rFonts w:cs="Arial" w:ascii="Arial" w:hAnsi="Arial"/>
          <w:sz w:val="24"/>
          <w:szCs w:val="24"/>
          <w:lang w:val="ru-RU"/>
        </w:rPr>
        <w:t xml:space="preserve">      </w:t>
      </w: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  <w:u w:val="single"/>
        </w:rPr>
        <w:t>№32</w:t>
      </w:r>
    </w:p>
    <w:p>
      <w:pPr>
        <w:pStyle w:val="Normal"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cs="Arial" w:ascii="Arial" w:hAnsi="Arial"/>
          <w:sz w:val="24"/>
          <w:szCs w:val="24"/>
          <w:u w:val="single"/>
          <w:lang w:val="ru-RU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>О внесении изменений и дополнений в А</w:t>
      </w:r>
      <w:r>
        <w:rPr>
          <w:rFonts w:cs="Arial" w:ascii="Arial" w:hAnsi="Arial"/>
          <w:b/>
          <w:bCs/>
          <w:i/>
          <w:iCs/>
          <w:sz w:val="24"/>
          <w:szCs w:val="24"/>
        </w:rPr>
        <w:t>дминистративн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>ый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регламент предоставления муниципальной услуги</w:t>
      </w:r>
      <w:r>
        <w:rPr>
          <w:rFonts w:cs="Arial" w:ascii="Arial" w:hAnsi="Arial"/>
          <w:b/>
          <w:i/>
          <w:iCs/>
          <w:sz w:val="24"/>
          <w:szCs w:val="24"/>
        </w:rPr>
        <w:t xml:space="preserve"> «Предоставление земельных участков, находящихся в муниципальной собственности Усть-Погожинского сельского поселения и расположенных на территории Усть-Погожинского сельского поселения Дубовского муниципального района Волгоградской области, в аренду без проведения торгов»</w:t>
      </w:r>
      <w:r>
        <w:rPr>
          <w:rFonts w:cs="Arial" w:ascii="Arial" w:hAnsi="Arial"/>
          <w:b/>
          <w:i/>
          <w:iCs/>
          <w:sz w:val="24"/>
          <w:szCs w:val="24"/>
          <w:lang w:val="ru-RU"/>
        </w:rPr>
        <w:t xml:space="preserve">, 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 xml:space="preserve">утверждённый постановлением администрации Усть-Погожинского сельского поселения </w:t>
      </w:r>
      <w:r>
        <w:rPr>
          <w:rFonts w:cs="Arial" w:ascii="Arial" w:hAnsi="Arial"/>
          <w:b/>
          <w:bCs/>
          <w:i/>
          <w:iCs/>
          <w:sz w:val="24"/>
          <w:szCs w:val="24"/>
          <w:u w:val="none"/>
        </w:rPr>
        <w:t>№5</w:t>
      </w:r>
      <w:r>
        <w:rPr>
          <w:rFonts w:cs="Arial" w:ascii="Arial" w:hAnsi="Arial"/>
          <w:b/>
          <w:bCs/>
          <w:i/>
          <w:iCs/>
          <w:sz w:val="24"/>
          <w:szCs w:val="24"/>
          <w:u w:val="none"/>
          <w:lang w:val="ru-RU"/>
        </w:rPr>
        <w:t xml:space="preserve">1 </w:t>
      </w:r>
      <w:r>
        <w:rPr>
          <w:rFonts w:cs="Arial" w:ascii="Arial" w:hAnsi="Arial"/>
          <w:b/>
          <w:bCs/>
          <w:i/>
          <w:iCs/>
          <w:sz w:val="24"/>
          <w:szCs w:val="24"/>
        </w:rPr>
        <w:t>от «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>07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» 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>декаб</w:t>
      </w:r>
      <w:r>
        <w:rPr>
          <w:rFonts w:cs="Arial" w:ascii="Arial" w:hAnsi="Arial"/>
          <w:b/>
          <w:bCs/>
          <w:i/>
          <w:iCs/>
          <w:sz w:val="24"/>
          <w:szCs w:val="24"/>
        </w:rPr>
        <w:t>ря 201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>7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г.    </w:t>
      </w:r>
      <w:r>
        <w:rPr>
          <w:rFonts w:cs="Arial" w:ascii="Arial" w:hAnsi="Arial"/>
          <w:b/>
          <w:bCs/>
          <w:i/>
          <w:iCs/>
          <w:sz w:val="24"/>
          <w:szCs w:val="24"/>
          <w:lang w:val="ru-RU"/>
        </w:rPr>
        <w:t xml:space="preserve"> (в редакции от </w:t>
      </w:r>
      <w:r>
        <w:rPr>
          <w:rFonts w:cs="Arial" w:ascii="Arial" w:hAnsi="Arial"/>
          <w:b/>
          <w:bCs/>
          <w:i/>
          <w:iCs/>
          <w:sz w:val="24"/>
          <w:szCs w:val="24"/>
          <w:u w:val="none"/>
          <w:lang w:val="ru-RU"/>
        </w:rPr>
        <w:t>23.04.2019г., от 11.06.2020г., от 11.06.2020г, от 28.10.2020г.)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val="ru-RU"/>
        </w:rPr>
      </w:pPr>
      <w:r>
        <w:rPr>
          <w:rFonts w:cs="Arial" w:ascii="Arial" w:hAnsi="Arial"/>
          <w:b/>
          <w:sz w:val="24"/>
          <w:szCs w:val="24"/>
          <w:lang w:val="ru-RU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В соответствии с </w:t>
      </w:r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</w:rPr>
        <w:t>Федеральн</w:t>
      </w:r>
      <w:r>
        <w:rPr>
          <w:rFonts w:cs="Arial" w:ascii="Arial" w:hAnsi="Arial"/>
          <w:sz w:val="24"/>
          <w:szCs w:val="24"/>
          <w:lang w:val="ru-RU"/>
        </w:rPr>
        <w:t>ым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ru-RU"/>
        </w:rPr>
        <w:t>законом</w:t>
      </w:r>
      <w:r>
        <w:rPr>
          <w:rFonts w:cs="Arial" w:ascii="Arial" w:hAnsi="Arial"/>
          <w:sz w:val="24"/>
          <w:szCs w:val="24"/>
        </w:rPr>
        <w:t xml:space="preserve"> от </w:t>
      </w:r>
      <w:r>
        <w:rPr>
          <w:rFonts w:cs="Arial" w:ascii="Arial" w:hAnsi="Arial"/>
          <w:sz w:val="24"/>
          <w:szCs w:val="24"/>
          <w:lang w:val="ru-RU"/>
        </w:rPr>
        <w:t>20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  <w:lang w:val="ru-RU"/>
        </w:rPr>
        <w:t>04</w:t>
      </w:r>
      <w:r>
        <w:rPr>
          <w:rFonts w:cs="Arial" w:ascii="Arial" w:hAnsi="Arial"/>
          <w:sz w:val="24"/>
          <w:szCs w:val="24"/>
        </w:rPr>
        <w:t>.20</w:t>
      </w:r>
      <w:r>
        <w:rPr>
          <w:rFonts w:cs="Arial" w:ascii="Arial" w:hAnsi="Arial"/>
          <w:sz w:val="24"/>
          <w:szCs w:val="24"/>
          <w:lang w:val="ru-RU"/>
        </w:rPr>
        <w:t>21</w:t>
      </w:r>
      <w:r>
        <w:rPr>
          <w:rFonts w:cs="Arial" w:ascii="Arial" w:hAnsi="Arial"/>
          <w:sz w:val="24"/>
          <w:szCs w:val="24"/>
        </w:rPr>
        <w:t xml:space="preserve"> №92</w:t>
      </w:r>
      <w:r>
        <w:rPr>
          <w:rFonts w:cs="Arial" w:ascii="Arial" w:hAnsi="Arial"/>
          <w:sz w:val="24"/>
          <w:szCs w:val="24"/>
          <w:lang w:val="ru-RU"/>
        </w:rPr>
        <w:t>-ФЗ «О внесении изменений в отдельные  законодательные акты Российской Федерации</w:t>
      </w:r>
      <w:r>
        <w:rPr>
          <w:rFonts w:cs="Arial" w:ascii="Arial" w:hAnsi="Arial"/>
          <w:sz w:val="24"/>
          <w:szCs w:val="24"/>
        </w:rPr>
        <w:t xml:space="preserve">»,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ПОСТАНОВЛЯЮ:</w:t>
      </w:r>
    </w:p>
    <w:p>
      <w:pPr>
        <w:pStyle w:val="Normal"/>
        <w:numPr>
          <w:ilvl w:val="0"/>
          <w:numId w:val="3"/>
        </w:numPr>
        <w:ind w:start="0" w:end="0" w:firstLine="360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lang w:val="ru-RU"/>
        </w:rPr>
        <w:t xml:space="preserve">Внести  в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 административный регламент  предоставления муниципальной услуги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lang w:val="ru-RU"/>
        </w:rPr>
        <w:t>«</w:t>
      </w:r>
      <w:r>
        <w:rPr>
          <w:rFonts w:cs="Arial" w:ascii="Arial" w:hAnsi="Arial"/>
          <w:b w:val="false"/>
          <w:bCs/>
          <w:i w:val="false"/>
          <w:iCs w:val="false"/>
          <w:sz w:val="24"/>
          <w:szCs w:val="24"/>
        </w:rPr>
        <w:t>Предоставление земельных участков, находящихся в муниципальной собственности Усть-Погожинского сельского поселения и расположенных на территории Усть-Погожинского сельского поселения Дубовского муниципального района Волгоградской области, в аренду без проведения торгов</w:t>
      </w:r>
      <w:r>
        <w:rPr>
          <w:rFonts w:cs="Arial" w:ascii="Arial" w:hAnsi="Arial"/>
          <w:b w:val="false"/>
          <w:bCs/>
          <w:i w:val="false"/>
          <w:iCs w:val="false"/>
          <w:sz w:val="24"/>
          <w:szCs w:val="24"/>
          <w:lang w:val="ru-RU"/>
        </w:rPr>
        <w:t>»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lang w:val="ru-RU"/>
        </w:rPr>
        <w:t xml:space="preserve">, утверждённый постановлением администрации Усть-Погожинского сельского поселения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№51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от «07» декабря 2017г. (в редакции от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 xml:space="preserve">23.04.2019г., от 11.06.2020г., от 11.06.2020г., 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от 28.10.2020г.),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  <w:lang w:val="ru-RU"/>
        </w:rPr>
        <w:t xml:space="preserve"> следующие изменения: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2"/>
        </w:numPr>
        <w:kinsoku w:val="true"/>
        <w:overflowPunct w:val="true"/>
        <w:autoSpaceDE w:val="false"/>
        <w:bidi w:val="0"/>
        <w:snapToGrid w:val="true"/>
        <w:ind w:start="0" w:end="0" w:firstLine="540"/>
        <w:jc w:val="both"/>
        <w:textAlignment w:val="auto"/>
        <w:rPr/>
      </w:pPr>
      <w:r>
        <w:rPr>
          <w:rFonts w:cs="Arial" w:ascii="Arial" w:hAnsi="Arial"/>
          <w:sz w:val="24"/>
          <w:szCs w:val="24"/>
          <w:lang w:val="ru-RU"/>
        </w:rPr>
        <w:t xml:space="preserve">Дополнить пункт 1.2. Раздела 1 </w:t>
      </w:r>
      <w:r>
        <w:rPr>
          <w:rFonts w:cs="Arial" w:ascii="Arial" w:hAnsi="Arial"/>
          <w:b w:val="false"/>
          <w:bCs w:val="false"/>
          <w:sz w:val="24"/>
          <w:szCs w:val="24"/>
          <w:lang w:val="ru-RU"/>
        </w:rPr>
        <w:t>«Общие положения»</w:t>
      </w:r>
      <w:r>
        <w:rPr>
          <w:rFonts w:cs="Arial" w:ascii="Arial" w:hAnsi="Arial"/>
          <w:b/>
          <w:sz w:val="24"/>
          <w:szCs w:val="24"/>
          <w:lang w:val="ru-RU"/>
        </w:rPr>
        <w:t xml:space="preserve"> подпунктами следующего содержания:</w:t>
      </w:r>
    </w:p>
    <w:p>
      <w:pPr>
        <w:pStyle w:val="Normal"/>
        <w:ind w:start="0" w:end="0" w:hanging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ru-RU"/>
        </w:rPr>
        <w:t>«</w:t>
      </w:r>
      <w:r>
        <w:rPr>
          <w:rFonts w:eastAsia="sans-serif;Arial" w:cs="Arial" w:ascii="Arial" w:hAnsi="Arial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>-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земельного участка застройщику, признанному в соответствии с Федеральным </w:t>
      </w: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instrText> HYPERLINK "http://www.consultant.ru/document/cons_doc_LAW_382654/" \l "dst0"</w:instrTex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</w:rPr>
        <w:t>законом</w: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 </w:t>
      </w: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instrText> HYPERLINK "http://www.consultant.ru/document/cons_doc_LAW_383456/" \l "dst0"</w:instrTex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</w:rPr>
        <w:t>законом</w: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мер по обеспечению требований кредиторов и интересов должника в соответствии с </w:t>
      </w: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instrText> HYPERLINK "http://www.consultant.ru/document/cons_doc_LAW_382654/2e16f1361a5a6ebdb1c5badd55d4148d18a01d8f/" \l "dst6593"</w:instrTex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</w:rPr>
        <w:t>пунктом 1 статьи 201.3</w: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Федерального закона от 26 октября 2002 года N 127-ФЗ "О несостоятельности (банкротстве)";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851" w:right="851" w:header="709" w:top="964" w:footer="709" w:bottom="765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lineRule="atLeast" w:line="315"/>
        <w:jc w:val="both"/>
        <w:rPr/>
      </w:pPr>
      <w:r>
        <w:rPr>
          <w:rFonts w:cs="Arial" w:ascii="Arial" w:hAnsi="Arial"/>
          <w:b w:val="false"/>
          <w:color w:val="000000"/>
          <w:sz w:val="24"/>
          <w:szCs w:val="24"/>
        </w:rPr>
        <w:t>(пп. 3.2 введен Федеральным </w:t>
      </w:r>
      <w:r>
        <w:fldChar w:fldCharType="begin"/>
      </w:r>
      <w:r>
        <w:rPr>
          <w:rStyle w:val="InternetLink"/>
          <w:dstrike w:val="false"/>
          <w:strike w:val="false"/>
          <w:sz w:val="24"/>
          <w:u w:val="none"/>
          <w:b w:val="false"/>
          <w:shd w:fill="auto" w:val="clear"/>
          <w:szCs w:val="24"/>
          <w:rFonts w:cs="Arial" w:ascii="Arial" w:hAnsi="Arial"/>
        </w:rPr>
        <w:instrText> HYPERLINK "http://www.consultant.ru/document/cons_doc_LAW_382528/30b3f8c55f65557c253227a65b908cc075ce114a/" \l "dst100041"</w:instrText>
      </w:r>
      <w:r>
        <w:rPr>
          <w:rStyle w:val="InternetLink"/>
          <w:dstrike w:val="false"/>
          <w:strike w:val="false"/>
          <w:sz w:val="24"/>
          <w:u w:val="none"/>
          <w:b w:val="false"/>
          <w:shd w:fill="auto" w:val="clear"/>
          <w:szCs w:val="24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законом</w:t>
      </w:r>
      <w:r>
        <w:rPr>
          <w:rStyle w:val="InternetLink"/>
          <w:dstrike w:val="false"/>
          <w:strike w:val="false"/>
          <w:sz w:val="24"/>
          <w:u w:val="none"/>
          <w:b w:val="false"/>
          <w:shd w:fill="auto" w:val="clear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b w:val="false"/>
          <w:color w:val="000000"/>
          <w:sz w:val="24"/>
          <w:szCs w:val="24"/>
        </w:rPr>
        <w:t> от 20.04.2021 N 92-ФЗ)</w:t>
      </w:r>
    </w:p>
    <w:p>
      <w:pPr>
        <w:sectPr>
          <w:type w:val="continuous"/>
          <w:pgSz w:w="11906" w:h="16838"/>
          <w:pgMar w:left="851" w:right="851" w:header="709" w:top="964" w:footer="709" w:bottom="765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pacing w:lineRule="atLeast" w:line="315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земельного участка застройщику, признанному в соответствии с Федеральным </w:t>
      </w: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instrText> HYPERLINK "http://www.consultant.ru/document/cons_doc_LAW_382654/" \l "dst0"</w:instrTex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</w:rPr>
        <w:t>законом</w: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 </w:t>
      </w: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instrText> HYPERLINK "http://www.consultant.ru/document/cons_doc_LAW_372903/" \l "dst0"</w:instrTex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separate"/>
      </w:r>
      <w:r>
        <w:rPr>
          <w:rStyle w:val="InternetLink"/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</w:rPr>
        <w:t>законом</w:t>
      </w:r>
      <w:r>
        <w:rPr>
          <w:rStyle w:val="InternetLink"/>
          <w:smallCaps w:val="false"/>
          <w:caps w:val="false"/>
          <w:dstrike w:val="false"/>
          <w:strike w:val="false"/>
          <w:sz w:val="24"/>
          <w:spacing w:val="0"/>
          <w:i w:val="false"/>
          <w:u w:val="none"/>
          <w:b w:val="false"/>
          <w:shd w:fill="auto" w:val="clear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Федерации".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paragraph">
                  <wp:posOffset>635</wp:posOffset>
                </wp:positionV>
                <wp:extent cx="151130" cy="20320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032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1.9pt;height:16pt;mso-wrap-distance-left:0pt;mso-wrap-distance-right:0pt;mso-wrap-distance-top:0pt;mso-wrap-distance-bottom:0pt;margin-top:0pt;mso-position-vertical:top;mso-position-vertical-relative:text;margin-left:0pt;mso-position-horizontal-relative:page">
                <v:fill opacity="0f"/>
                <v:textbox inset="0.00138888888888889in,0.00138888888888889in,0.00138888888888889in,0.00138888888888889in">
                  <w:txbxContent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851" w:right="851" w:header="709" w:top="964" w:footer="709" w:bottom="765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start="0" w:end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start="0" w:end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start="0" w:end="0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100" w:after="100"/>
        <w:ind w:start="0" w:end="0" w:hanging="0"/>
        <w:jc w:val="both"/>
        <w:rPr/>
      </w:pPr>
      <w:r>
        <w:rPr>
          <w:rFonts w:eastAsia="Arial"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</w:rPr>
        <w:t>Настоящее Постановление разместить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hyperlink r:id="rId6" w:tgtFrame="_blank">
        <w:r>
          <w:rPr>
            <w:rStyle w:val="InternetLink"/>
            <w:rFonts w:cs="Arial" w:ascii="Arial" w:hAnsi="Arial"/>
            <w:color w:val="000000"/>
            <w:sz w:val="24"/>
            <w:szCs w:val="24"/>
            <w:shd w:fill="FFFFFF" w:val="clear"/>
          </w:rPr>
          <w:t>http://xn---34-jddkf8cbgslk3jg.xn--p1ai/</w:t>
        </w:r>
      </w:hyperlink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spacing w:before="100" w:after="100"/>
        <w:ind w:start="0" w:end="0" w:hanging="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Разместить в Реестре государственных и муниципальных услуг Волгоградской области сведения о муниципальной услуге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«Предоставление земельных участков, находящихся в муниципальной собственности Усть-Погожинского сельского поселения и расположенных на территории Усть-Погожинского сельского поселения Дубовского муниципального района Волгоградской области, в аренду без проведения торгов»</w:t>
      </w:r>
      <w:r>
        <w:rPr>
          <w:rFonts w:cs="Arial" w:ascii="Arial" w:hAnsi="Arial"/>
          <w:sz w:val="24"/>
          <w:szCs w:val="24"/>
          <w:lang w:val="ru-RU"/>
        </w:rPr>
        <w:t xml:space="preserve"> (в новой редакции)</w:t>
      </w:r>
      <w:r>
        <w:rPr>
          <w:rFonts w:cs="Arial" w:ascii="Arial" w:hAnsi="Arial"/>
          <w:bCs/>
          <w:sz w:val="24"/>
          <w:szCs w:val="24"/>
        </w:rPr>
        <w:t>, предоставляемой (исполняемой) администрацией Усть-Погожинского сельского поселения.</w:t>
      </w:r>
    </w:p>
    <w:p>
      <w:pPr>
        <w:pStyle w:val="Normal"/>
        <w:numPr>
          <w:ilvl w:val="0"/>
          <w:numId w:val="2"/>
        </w:numPr>
        <w:spacing w:before="100" w:after="100"/>
        <w:ind w:start="0" w:end="0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Настоящее Постановление подлежит обнародованию.</w:t>
      </w:r>
    </w:p>
    <w:p>
      <w:pPr>
        <w:pStyle w:val="Normal"/>
        <w:numPr>
          <w:ilvl w:val="0"/>
          <w:numId w:val="2"/>
        </w:numPr>
        <w:spacing w:before="100" w:after="100"/>
        <w:ind w:start="0" w:end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widowControl w:val="false"/>
        <w:autoSpaceDE w:val="false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</w:t>
      </w:r>
    </w:p>
    <w:p>
      <w:pPr>
        <w:pStyle w:val="Normal"/>
        <w:autoSpaceDE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Усть-Погожинского</w:t>
      </w:r>
    </w:p>
    <w:p>
      <w:pPr>
        <w:pStyle w:val="Normal"/>
        <w:autoSpaceDE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поселения:                                                             Э.А. Сулейманов</w:t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continuous"/>
          <w:pgSz w:w="11906" w:h="16838"/>
          <w:pgMar w:left="851" w:right="851" w:header="709" w:top="964" w:footer="709" w:bottom="765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851" w:right="851" w:header="709" w:top="964" w:footer="709" w:bottom="76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default"/>
  </w:font>
  <w:font w:name="Arial">
    <w:charset w:val="00" w:characterSet="windows-1252"/>
    <w:family w:val="swiss"/>
    <w:pitch w:val="default"/>
  </w:font>
  <w:font w:name="Arial">
    <w:charset w:val="cc" w:characterSet="windows-1251"/>
    <w:family w:val="swiss"/>
    <w:pitch w:val="default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default"/>
  </w:font>
  <w:font w:name="Calibri">
    <w:charset w:val="cc" w:characterSet="windows-1251"/>
    <w:family w:val="swiss"/>
    <w:pitch w:val="default"/>
  </w:font>
  <w:font w:name="Courier New">
    <w:charset w:val="cc" w:characterSet="windows-1251"/>
    <w:family w:val="modern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ge">
                <wp:posOffset>612775</wp:posOffset>
              </wp:positionV>
              <wp:extent cx="18415" cy="144780"/>
              <wp:effectExtent l="0" t="0" r="0" b="0"/>
              <wp:wrapSquare wrapText="largest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1447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45pt;height:11.4pt;mso-wrap-distance-left:0pt;mso-wrap-distance-right:0pt;mso-wrap-distance-top:0pt;mso-wrap-distance-bottom:0pt;margin-top:48.25pt;mso-position-vertical-relative:page;margin-left:254.4pt;mso-position-horizontal:center;mso-position-horizontal-relative:text">
              <v:fill opacity="0f"/>
              <v:textbox inset="0.00208333333333333in,0.00208333333333333in,0.00208333333333333in,0.00208333333333333in">
                <w:txbxContent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  <w:rPr/>
    </w:lvl>
    <w:lvl w:ilvl="1">
      <w:start w:val="1"/>
      <w:pStyle w:val="Heading2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pStyle w:val="Heading3"/>
      <w:numFmt w:val="none"/>
      <w:suff w:val="nothing"/>
      <w:lvlText w:val=""/>
      <w:lvlJc w:val="start"/>
      <w:pPr>
        <w:ind w:start="0" w:hanging="0"/>
      </w:pPr>
      <w:rPr/>
    </w:lvl>
    <w:lvl w:ilvl="3">
      <w:start w:val="1"/>
      <w:pStyle w:val="Heading4"/>
      <w:numFmt w:val="none"/>
      <w:suff w:val="nothing"/>
      <w:lvlText w:val=""/>
      <w:lvlJc w:val="start"/>
      <w:pPr>
        <w:ind w:start="0" w:hanging="0"/>
      </w:pPr>
      <w:rPr/>
    </w:lvl>
    <w:lvl w:ilvl="4">
      <w:start w:val="1"/>
      <w:pStyle w:val="Heading5"/>
      <w:numFmt w:val="none"/>
      <w:suff w:val="nothing"/>
      <w:lvlText w:val=""/>
      <w:lvlJc w:val="start"/>
      <w:pPr>
        <w:ind w:start="0" w:hanging="0"/>
      </w:pPr>
      <w:rPr/>
    </w:lvl>
    <w:lvl w:ilvl="5">
      <w:start w:val="1"/>
      <w:pStyle w:val="Heading6"/>
      <w:numFmt w:val="none"/>
      <w:suff w:val="nothing"/>
      <w:lvlText w:val=""/>
      <w:lvlJc w:val="start"/>
      <w:pPr>
        <w:ind w:start="0" w:hanging="0"/>
      </w:pPr>
      <w:rPr/>
    </w:lvl>
    <w:lvl w:ilvl="6">
      <w:start w:val="1"/>
      <w:pStyle w:val="Heading7"/>
      <w:numFmt w:val="none"/>
      <w:suff w:val="nothing"/>
      <w:lvlText w:val=""/>
      <w:lvlJc w:val="start"/>
      <w:pPr>
        <w:ind w:start="0" w:hanging="0"/>
      </w:pPr>
      <w:rPr/>
    </w:lvl>
    <w:lvl w:ilvl="7">
      <w:start w:val="1"/>
      <w:pStyle w:val="Heading8"/>
      <w:numFmt w:val="none"/>
      <w:suff w:val="nothing"/>
      <w:lvlText w:val=""/>
      <w:lvlJc w:val="start"/>
      <w:pPr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1">
      <w:start w:val="1"/>
      <w:numFmt w:val="decimal"/>
      <w:suff w:val="space"/>
      <w:lvlText w:val="%1.%2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2">
      <w:start w:val="1"/>
      <w:numFmt w:val="decimal"/>
      <w:suff w:val="space"/>
      <w:lvlText w:val="%1.%2.%3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3">
      <w:start w:val="1"/>
      <w:numFmt w:val="decimal"/>
      <w:suff w:val="space"/>
      <w:lvlText w:val="%1.%2.%3.%4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4">
      <w:start w:val="1"/>
      <w:numFmt w:val="decimal"/>
      <w:suff w:val="space"/>
      <w:lvlText w:val="%1.%2.%3.%4.%5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5">
      <w:start w:val="1"/>
      <w:numFmt w:val="decimal"/>
      <w:suff w:val="space"/>
      <w:lvlText w:val="%1.%2.%3.%4.%5.%6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6">
      <w:start w:val="1"/>
      <w:numFmt w:val="decimal"/>
      <w:suff w:val="space"/>
      <w:lvlText w:val="%1.%2.%3.%4.%5.%6.%7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7">
      <w:start w:val="1"/>
      <w:numFmt w:val="decimal"/>
      <w:suff w:val="space"/>
      <w:lvlText w:val="%1.%2.%3.%4.%5.%6.%7.%8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  <w:lvl w:ilvl="8">
      <w:start w:val="1"/>
      <w:numFmt w:val="decimal"/>
      <w:suff w:val="space"/>
      <w:lvlText w:val="%1.%2.%3.%4.%5.%6.%7.%8.%9."/>
      <w:lvlJc w:val="start"/>
      <w:pPr>
        <w:ind w:start="0" w:hanging="0"/>
      </w:pPr>
      <w:rPr>
        <w:sz w:val="24"/>
        <w:b/>
        <w:szCs w:val="24"/>
        <w:bCs/>
        <w:rFonts w:ascii="Arial" w:hAnsi="Arial" w:cs="Arial"/>
        <w:lang w:val="ru-RU"/>
      </w:rPr>
    </w:lvl>
  </w:abstractNum>
  <w:abstractNum w:abstractNumId="3">
    <w:lvl w:ilvl="0">
      <w:start w:val="1"/>
      <w:numFmt w:val="decimal"/>
      <w:lvlText w:val="%1."/>
      <w:lvlJc w:val="start"/>
      <w:pPr>
        <w:ind w:start="720" w:hanging="360"/>
      </w:pPr>
      <w:rPr>
        <w:sz w:val="24"/>
        <w:i w:val="false"/>
        <w:b w:val="false"/>
        <w:szCs w:val="24"/>
        <w:iCs w:val="false"/>
        <w:bCs w:val="false"/>
        <w:rFonts w:ascii="Times New Roman" w:hAnsi="Times New Roman" w:eastAsia="Calibri" w:cs="Times New Roman"/>
        <w:lang w:val="ru-RU"/>
      </w:rPr>
    </w:lvl>
    <w:lvl w:ilvl="1">
      <w:start w:val="1"/>
      <w:numFmt w:val="decimal"/>
      <w:lvlText w:val="%2."/>
      <w:lvlJc w:val="start"/>
      <w:pPr>
        <w:ind w:start="1440" w:hanging="360"/>
      </w:pPr>
      <w:rPr/>
    </w:lvl>
    <w:lvl w:ilvl="2">
      <w:start w:val="1"/>
      <w:numFmt w:val="decimal"/>
      <w:lvlText w:val="%3."/>
      <w:lvlJc w:val="start"/>
      <w:pPr>
        <w:ind w:start="2160" w:hanging="360"/>
      </w:pPr>
      <w:rPr/>
    </w:lvl>
    <w:lvl w:ilvl="3">
      <w:start w:val="1"/>
      <w:numFmt w:val="decimal"/>
      <w:lvlText w:val="%4."/>
      <w:lvlJc w:val="start"/>
      <w:pPr>
        <w:ind w:start="2880" w:hanging="360"/>
      </w:pPr>
      <w:rPr/>
    </w:lvl>
    <w:lvl w:ilvl="4">
      <w:start w:val="1"/>
      <w:numFmt w:val="decimal"/>
      <w:lvlText w:val="%5."/>
      <w:lvlJc w:val="start"/>
      <w:pPr>
        <w:ind w:start="3600" w:hanging="360"/>
      </w:pPr>
      <w:rPr/>
    </w:lvl>
    <w:lvl w:ilvl="5">
      <w:start w:val="1"/>
      <w:numFmt w:val="decimal"/>
      <w:lvlText w:val="%6."/>
      <w:lvlJc w:val="start"/>
      <w:pPr>
        <w:ind w:start="4320" w:hanging="360"/>
      </w:pPr>
      <w:rPr/>
    </w:lvl>
    <w:lvl w:ilvl="6">
      <w:start w:val="1"/>
      <w:numFmt w:val="decimal"/>
      <w:lvlText w:val="%7."/>
      <w:lvlJc w:val="start"/>
      <w:pPr>
        <w:ind w:start="5040" w:hanging="360"/>
      </w:pPr>
      <w:rPr/>
    </w:lvl>
    <w:lvl w:ilvl="7">
      <w:start w:val="1"/>
      <w:numFmt w:val="decimal"/>
      <w:lvlText w:val="%8."/>
      <w:lvlJc w:val="start"/>
      <w:pPr>
        <w:ind w:start="5760" w:hanging="360"/>
      </w:pPr>
      <w:rPr/>
    </w:lvl>
    <w:lvl w:ilvl="8">
      <w:start w:val="1"/>
      <w:numFmt w:val="decimal"/>
      <w:lvlText w:val="%9."/>
      <w:lvlJc w:val="start"/>
      <w:pPr>
        <w:ind w:star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end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end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start="3969" w:end="0" w:hanging="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start="4820" w:end="-738" w:hanging="0"/>
      <w:outlineLvl w:val="7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/>
      <w:bCs/>
      <w:sz w:val="24"/>
      <w:szCs w:val="24"/>
      <w:lang w:val="ru-RU"/>
    </w:rPr>
  </w:style>
  <w:style w:type="character" w:styleId="WW8Num3z0">
    <w:name w:val="WW8Num3z0"/>
    <w:qFormat/>
    <w:rPr>
      <w:rFonts w:ascii="Times New Roman" w:hAnsi="Times New Roman" w:eastAsia="Calibri" w:cs="Times New Roman"/>
      <w:b w:val="false"/>
      <w:bCs w:val="false"/>
      <w:i w:val="false"/>
      <w:iCs w:val="false"/>
      <w:sz w:val="24"/>
      <w:szCs w:val="24"/>
      <w:lang w:val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6">
    <w:name w:val="Основной шрифт абзаца"/>
    <w:qFormat/>
    <w:rPr/>
  </w:style>
  <w:style w:type="character" w:styleId="PageNumber">
    <w:name w:val="Page Number"/>
    <w:basedOn w:val="Style6"/>
    <w:rPr/>
  </w:style>
  <w:style w:type="character" w:styleId="InternetLink">
    <w:name w:val="Internet Link"/>
    <w:rPr>
      <w:color w:val="0000FF"/>
      <w:u w:val="single"/>
    </w:rPr>
  </w:style>
  <w:style w:type="character" w:styleId="Style7">
    <w:name w:val="Символ концевой сноски"/>
    <w:qFormat/>
    <w:rPr>
      <w:vertAlign w:val="superscript"/>
    </w:rPr>
  </w:style>
  <w:style w:type="character" w:styleId="Style8">
    <w:name w:val="Символ сноски"/>
    <w:qFormat/>
    <w:rPr>
      <w:vertAlign w:val="superscript"/>
    </w:rPr>
  </w:style>
  <w:style w:type="character" w:styleId="ConsPlusNormal">
    <w:name w:val="ConsPlusNormal Знак"/>
    <w:qFormat/>
    <w:rPr>
      <w:rFonts w:ascii="Arial" w:hAnsi="Arial" w:cs="Arial"/>
      <w:lang w:val="ru-RU" w:eastAsia="ru-RU" w:bidi="ar-SA"/>
    </w:rPr>
  </w:style>
  <w:style w:type="character" w:styleId="Blk">
    <w:name w:val="blk"/>
    <w:qFormat/>
    <w:rPr/>
  </w:style>
  <w:style w:type="character" w:styleId="Style9">
    <w:name w:val="Гипертекстовая ссылка"/>
    <w:qFormat/>
    <w:rPr>
      <w:b/>
      <w:bCs/>
      <w:color w:val="106BBE"/>
      <w:sz w:val="26"/>
      <w:szCs w:val="26"/>
    </w:rPr>
  </w:style>
  <w:style w:type="character" w:styleId="Snippetequal">
    <w:name w:val="snippet_equal"/>
    <w:basedOn w:val="Style6"/>
    <w:qFormat/>
    <w:rPr/>
  </w:style>
  <w:style w:type="character" w:styleId="S11">
    <w:name w:val="s11"/>
    <w:qFormat/>
    <w:rPr>
      <w:rFonts w:cs="Times New Roman"/>
      <w:color w:val="000000"/>
    </w:rPr>
  </w:style>
  <w:style w:type="character" w:styleId="VDzhevelo">
    <w:name w:val="V_Dzhevelo"/>
    <w:qFormat/>
    <w:rPr>
      <w:rFonts w:ascii="Arial" w:hAnsi="Arial" w:cs="Arial"/>
      <w:color w:val="000000"/>
      <w:sz w:val="20"/>
      <w:szCs w:val="20"/>
    </w:rPr>
  </w:style>
  <w:style w:type="character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styleId="13">
    <w:name w:val="Обычный +13 пт Знак"/>
    <w:qFormat/>
    <w:rPr>
      <w:rFonts w:ascii="Arial" w:hAnsi="Arial" w:cs="Arial"/>
      <w:sz w:val="18"/>
      <w:szCs w:val="18"/>
      <w:lang w:val="ru-RU" w:eastAsia="ru-RU" w:bidi="ar-SA"/>
    </w:rPr>
  </w:style>
  <w:style w:type="character" w:styleId="Q">
    <w:name w:val="q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0">
    <w:name w:val="Заголовок"/>
    <w:basedOn w:val="Normal"/>
    <w:next w:val="TextBody"/>
    <w:qFormat/>
    <w:pPr>
      <w:keepLines/>
      <w:widowControl w:val="false"/>
      <w:ind w:start="0" w:end="0"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Style1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с отступом 2"/>
    <w:basedOn w:val="Normal"/>
    <w:qFormat/>
    <w:pPr>
      <w:ind w:start="4395" w:end="0" w:hanging="0"/>
    </w:pPr>
    <w:rPr>
      <w:b/>
      <w:sz w:val="28"/>
    </w:rPr>
  </w:style>
  <w:style w:type="paragraph" w:styleId="TextBodyIndent">
    <w:name w:val="Body Text Indent"/>
    <w:basedOn w:val="Normal"/>
    <w:pPr>
      <w:ind w:start="0" w:end="0" w:firstLine="709"/>
      <w:jc w:val="both"/>
    </w:pPr>
    <w:rPr>
      <w:b/>
      <w:sz w:val="24"/>
    </w:rPr>
  </w:style>
  <w:style w:type="paragraph" w:styleId="Style13">
    <w:name w:val="Цитата"/>
    <w:basedOn w:val="Normal"/>
    <w:qFormat/>
    <w:pPr>
      <w:ind w:start="3969" w:end="-738" w:firstLine="851"/>
    </w:pPr>
    <w:rPr>
      <w:b/>
      <w:sz w:val="28"/>
    </w:rPr>
  </w:style>
  <w:style w:type="paragraph" w:styleId="Style14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Endnote">
    <w:name w:val="Endnote Text"/>
    <w:basedOn w:val="Normal"/>
    <w:pPr/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pPr/>
    <w:rPr/>
  </w:style>
  <w:style w:type="paragraph" w:styleId="Style17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21">
    <w:name w:val="Основной текст 2"/>
    <w:basedOn w:val="Normal"/>
    <w:qFormat/>
    <w:pPr>
      <w:ind w:start="0" w:end="-286" w:hanging="0"/>
      <w:jc w:val="both"/>
    </w:pPr>
    <w:rPr>
      <w:b/>
      <w:sz w:val="28"/>
    </w:rPr>
  </w:style>
  <w:style w:type="paragraph" w:styleId="Style18">
    <w:name w:val="Знак"/>
    <w:basedOn w:val="Normal"/>
    <w:qFormat/>
    <w:pPr>
      <w:spacing w:lineRule="exact" w:line="240" w:before="0" w:after="160"/>
      <w:ind w:start="0" w:end="0" w:firstLine="567"/>
      <w:jc w:val="both"/>
    </w:pPr>
    <w:rPr>
      <w:rFonts w:ascii="Arial" w:hAnsi="Arial" w:cs="Arial"/>
      <w:lang w:val="en-US" w:eastAsia="en-US"/>
    </w:rPr>
  </w:style>
  <w:style w:type="paragraph" w:styleId="Text">
    <w:name w:val="text"/>
    <w:basedOn w:val="Normal"/>
    <w:qFormat/>
    <w:pPr>
      <w:ind w:start="0" w:end="0" w:firstLine="567"/>
      <w:jc w:val="both"/>
    </w:pPr>
    <w:rPr>
      <w:rFonts w:ascii="Arial" w:hAnsi="Arial" w:cs="Arial"/>
      <w:sz w:val="24"/>
      <w:szCs w:val="24"/>
    </w:rPr>
  </w:style>
  <w:style w:type="paragraph" w:styleId="ConsPlusCell">
    <w:name w:val="ConsPlusCel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normal1">
    <w:name w:val="consplusnormal"/>
    <w:basedOn w:val="Normal"/>
    <w:qFormat/>
    <w:pPr>
      <w:autoSpaceDE w:val="false"/>
    </w:pPr>
    <w:rPr>
      <w:rFonts w:ascii="Arial" w:hAnsi="Arial" w:cs="Arial"/>
    </w:rPr>
  </w:style>
  <w:style w:type="paragraph" w:styleId="1">
    <w:name w:val="Знак Знак Знак Знак1"/>
    <w:basedOn w:val="Normal"/>
    <w:qFormat/>
    <w:pPr>
      <w:spacing w:before="100" w:after="100"/>
      <w:jc w:val="both"/>
    </w:pPr>
    <w:rPr>
      <w:rFonts w:ascii="Tahoma" w:hAnsi="Tahoma" w:cs="Tahoma"/>
      <w:lang w:val="en-US" w:eastAsia="en-US"/>
    </w:rPr>
  </w:style>
  <w:style w:type="paragraph" w:styleId="ConsPlusNormal2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Style19">
    <w:name w:val="Абзац списка"/>
    <w:basedOn w:val="Normal"/>
    <w:qFormat/>
    <w:pPr>
      <w:spacing w:lineRule="auto" w:line="276" w:before="0" w:after="200"/>
      <w:ind w:start="720" w:end="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211">
    <w:name w:val="Основной текст 21"/>
    <w:basedOn w:val="Normal"/>
    <w:qFormat/>
    <w:pPr>
      <w:suppressAutoHyphens w:val="true"/>
      <w:ind w:start="0" w:end="0"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ar-SA" w:bidi="ar-SA"/>
    </w:rPr>
  </w:style>
  <w:style w:type="paragraph" w:styleId="131">
    <w:name w:val="Обычный +13 пт"/>
    <w:basedOn w:val="Normal"/>
    <w:qFormat/>
    <w:pPr>
      <w:ind w:start="0" w:end="0" w:firstLine="567"/>
      <w:jc w:val="both"/>
    </w:pPr>
    <w:rPr>
      <w:rFonts w:ascii="Arial" w:hAnsi="Arial" w:cs="Arial"/>
      <w:sz w:val="18"/>
      <w:szCs w:val="18"/>
    </w:rPr>
  </w:style>
  <w:style w:type="paragraph" w:styleId="Formattexttopleveltext">
    <w:name w:val="formattext topleveltext"/>
    <w:basedOn w:val="Normal"/>
    <w:qFormat/>
    <w:pPr>
      <w:spacing w:before="100" w:after="100"/>
    </w:pPr>
    <w:rPr/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322"/>
      <w:ind w:start="0" w:end="0" w:firstLine="696"/>
      <w:jc w:val="both"/>
    </w:pPr>
    <w:rPr>
      <w:sz w:val="24"/>
      <w:szCs w:val="24"/>
    </w:rPr>
  </w:style>
  <w:style w:type="paragraph" w:styleId="Style20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http://xn---34-jddkf8cbgslk3jg.xn--p1ai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10061</TotalTime>
  <Application>LibreOffice/6.0.1.1$Linux_X86_64 LibreOffice_project/60bfb1526849283ce2491346ed2aa51c465abfe6</Application>
  <Pages>2</Pages>
  <Words>451</Words>
  <Characters>3507</Characters>
  <CharactersWithSpaces>4140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2017-08-21T14:04:00Z</dcterms:created>
  <dc:creator>111</dc:creator>
  <dc:description/>
  <dc:language>en-US</dc:language>
  <cp:lastModifiedBy/>
  <cp:lastPrinted>2021-06-22T09:17:00Z</cp:lastPrinted>
  <dcterms:modified xsi:type="dcterms:W3CDTF">2021-06-22T09:20:47Z</dcterms:modified>
  <cp:revision>17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