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5363F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Усть-Погожинского сельского поселения</w:t>
      </w:r>
    </w:p>
    <w:p w:rsidR="00000000" w:rsidRDefault="0015363F">
      <w:pPr>
        <w:jc w:val="center"/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000000" w:rsidRDefault="0015363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Волгоградской области</w:t>
      </w:r>
    </w:p>
    <w:p w:rsidR="00000000" w:rsidRDefault="0015363F">
      <w:pPr>
        <w:jc w:val="center"/>
      </w:pPr>
      <w:r>
        <w:rPr>
          <w:b/>
          <w:sz w:val="28"/>
          <w:szCs w:val="28"/>
        </w:rPr>
        <w:t>Постановление</w:t>
      </w:r>
    </w:p>
    <w:p w:rsidR="00000000" w:rsidRDefault="0015363F">
      <w:pPr>
        <w:jc w:val="both"/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№40</w:t>
      </w:r>
    </w:p>
    <w:p w:rsidR="00000000" w:rsidRDefault="0015363F">
      <w:pPr>
        <w:widowControl w:val="0"/>
        <w:rPr>
          <w:sz w:val="28"/>
          <w:szCs w:val="28"/>
        </w:rPr>
      </w:pPr>
    </w:p>
    <w:p w:rsidR="00000000" w:rsidRDefault="0015363F">
      <w:pPr>
        <w:widowControl w:val="0"/>
        <w:rPr>
          <w:sz w:val="28"/>
          <w:szCs w:val="28"/>
        </w:rPr>
      </w:pPr>
    </w:p>
    <w:p w:rsidR="00000000" w:rsidRDefault="0015363F">
      <w:pPr>
        <w:pStyle w:val="ConsPlusCell"/>
        <w:jc w:val="center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изменений и до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полнений в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регламент предоставления муниципальной услуги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«Предоставление земельных участков, находящихся в муниципальной собственности Усть-Погожинского сельского поселения,  расположенных на территории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Усть-Погожинского сельского поселе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ния,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юридическим лицам в собственность бесплатно»,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утверждённый постановлением администрации Усть-Погожинского сельского поселения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 71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«20» декабря 2019 г.  (в редакции от 11.06.2020г., от 22.06.2021г.)</w:t>
      </w:r>
    </w:p>
    <w:p w:rsidR="00000000" w:rsidRDefault="0015363F">
      <w:pPr>
        <w:widowControl w:val="0"/>
        <w:autoSpaceDE w:val="0"/>
        <w:jc w:val="both"/>
        <w:rPr>
          <w:sz w:val="28"/>
          <w:szCs w:val="28"/>
        </w:rPr>
      </w:pPr>
    </w:p>
    <w:p w:rsidR="00000000" w:rsidRDefault="0015363F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со </w:t>
      </w:r>
      <w:r>
        <w:rPr>
          <w:spacing w:val="-1"/>
          <w:sz w:val="28"/>
          <w:szCs w:val="28"/>
        </w:rPr>
        <w:t>статьей 11.4 Земельного кодекса РФ,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Уставом Усть-Погожинск</w:t>
      </w:r>
      <w:r>
        <w:rPr>
          <w:sz w:val="28"/>
          <w:szCs w:val="28"/>
        </w:rPr>
        <w:t xml:space="preserve">ого сельского поселения   </w:t>
      </w:r>
    </w:p>
    <w:p w:rsidR="00000000" w:rsidRDefault="0015363F">
      <w:pPr>
        <w:jc w:val="both"/>
        <w:rPr>
          <w:sz w:val="28"/>
          <w:szCs w:val="28"/>
        </w:rPr>
      </w:pPr>
    </w:p>
    <w:p w:rsidR="00000000" w:rsidRDefault="0015363F">
      <w:pPr>
        <w:jc w:val="both"/>
      </w:pPr>
      <w:r>
        <w:rPr>
          <w:b/>
          <w:bCs/>
          <w:spacing w:val="3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00000" w:rsidRDefault="0015363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00000" w:rsidRDefault="0015363F">
      <w:pPr>
        <w:widowControl w:val="0"/>
        <w:autoSpaceDE w:val="0"/>
        <w:jc w:val="both"/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Усть-Погожинского сельского поселения, и земельных участков, </w:t>
      </w:r>
      <w:r>
        <w:rPr>
          <w:sz w:val="28"/>
          <w:szCs w:val="28"/>
        </w:rPr>
        <w:t xml:space="preserve"> расположенных на территории Усть-Погожинского сельского поселения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в собственность бесплатно», утвержденный постановлением администрации Усть-Погожинского сельского поселения от «20» декабря 2020 г. № 71</w:t>
      </w:r>
      <w:r>
        <w:rPr>
          <w:sz w:val="28"/>
          <w:szCs w:val="28"/>
        </w:rPr>
        <w:t xml:space="preserve"> (в редакции от 11.06.2020г., от 2</w:t>
      </w:r>
      <w:r>
        <w:rPr>
          <w:sz w:val="28"/>
          <w:szCs w:val="28"/>
        </w:rPr>
        <w:t>2.06.2021г.)</w:t>
      </w:r>
      <w:r>
        <w:rPr>
          <w:sz w:val="28"/>
          <w:szCs w:val="28"/>
        </w:rPr>
        <w:t>, следующие изменения:</w:t>
      </w:r>
    </w:p>
    <w:p w:rsidR="00000000" w:rsidRDefault="0015363F">
      <w:pPr>
        <w:pStyle w:val="ListParagraph"/>
        <w:widowControl w:val="0"/>
        <w:autoSpaceDE w:val="0"/>
        <w:ind w:left="0" w:firstLine="720"/>
        <w:jc w:val="both"/>
      </w:pPr>
      <w:r>
        <w:rPr>
          <w:rFonts w:eastAsia="Arial"/>
          <w:b/>
          <w:bCs/>
          <w:sz w:val="28"/>
          <w:szCs w:val="28"/>
        </w:rPr>
        <w:t>1.1.</w:t>
      </w:r>
      <w:r>
        <w:rPr>
          <w:rFonts w:eastAsia="Arial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>Изложить пункт 1.2. административного регламента «Предоставление земельных участков, находящихся в муниципальной собственности Усть-Погожинского сельского поселения, и земельных участков,  расположенных на территори</w:t>
      </w:r>
      <w:r>
        <w:rPr>
          <w:rFonts w:eastAsia="Arial"/>
          <w:color w:val="000000"/>
          <w:sz w:val="28"/>
          <w:szCs w:val="28"/>
        </w:rPr>
        <w:t>и Усть-Погожинского сельского поселения</w:t>
      </w:r>
      <w:r>
        <w:rPr>
          <w:rFonts w:eastAsia="Arial"/>
          <w:color w:val="000000"/>
          <w:sz w:val="28"/>
          <w:szCs w:val="28"/>
        </w:rPr>
        <w:t>»</w:t>
      </w:r>
      <w:r>
        <w:rPr>
          <w:rFonts w:eastAsia="Arial"/>
          <w:color w:val="000000"/>
          <w:sz w:val="28"/>
          <w:szCs w:val="28"/>
        </w:rPr>
        <w:t xml:space="preserve"> юридическим лицам в собственность бесплатно» в следующей редакции: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«1.2.  Заявителями на получение муниципальной услуги являются следующие юридические лица, а также уполномоченные ими представители: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1.2.1. Юридическ</w:t>
      </w:r>
      <w:r>
        <w:rPr>
          <w:sz w:val="28"/>
          <w:szCs w:val="28"/>
        </w:rPr>
        <w:t>ие лица, с которыми заключен договор о развитии застроенной территории, желающие приобрести земельные участки, образованные в границах застроенной территории (п. 1 ст. 39.5 Земельного кодекса Российской Федерации, далее также – ЗК РФ).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lastRenderedPageBreak/>
        <w:t>1.2.2. Религиозные о</w:t>
      </w:r>
      <w:r>
        <w:rPr>
          <w:sz w:val="28"/>
          <w:szCs w:val="28"/>
        </w:rPr>
        <w:t>рганизации, имеющие в собственности здания или сооружения религиозного или благотворительного назначения, расположенные на таком земельном участке (п. 2 ст. 39.5 ЗК РФ).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 xml:space="preserve">1.2.3. Общероссийские общественные организации инвалидов и организации, единственными </w:t>
      </w:r>
      <w:r>
        <w:rPr>
          <w:sz w:val="28"/>
          <w:szCs w:val="28"/>
        </w:rPr>
        <w:t xml:space="preserve">учредителями которых являются общероссийские общественные организации инвалидов, желающие приобрести земельные участки, на которых расположены здания, строения и сооружения, находящиеся на день введения в действие Земельного кодекса Российской Федерации в </w:t>
      </w:r>
      <w:r>
        <w:rPr>
          <w:sz w:val="28"/>
          <w:szCs w:val="28"/>
        </w:rPr>
        <w:t>собственности этих организаций (п. 7 ст. 39.5 ЗК РФ, п. 2 ст. 3 Федерального закона от 25.10.2001 № 137-ФЗ).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 xml:space="preserve">1.2.4. Фонды, созданные в соответствии с Федеральным </w:t>
      </w:r>
      <w:hyperlink r:id="rId7" w:history="1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29.07.2017 № 216-ФЗ "Об инновационных научно-технологических центрах и о внесении изменений в отдельные законодательные акты Российской Федерации", желающие приобрести земельные участки, включенного в границы территории инновацион</w:t>
      </w:r>
      <w:r>
        <w:rPr>
          <w:sz w:val="28"/>
          <w:szCs w:val="28"/>
        </w:rPr>
        <w:t xml:space="preserve">ного научно-технологического центра (п. 11 ст. 39.5 ЗК РФ).» 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000000" w:rsidRDefault="0015363F">
      <w:pPr>
        <w:ind w:firstLine="540"/>
        <w:jc w:val="both"/>
      </w:pPr>
      <w:r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Изложить подпункт 2.6.1.2 пункта 2.6. административного регламента «Предоставление земельных участков, находящихся в муниципальной собственности Усть-Погожинского сельского поселения, и </w:t>
      </w:r>
      <w:r>
        <w:rPr>
          <w:rFonts w:eastAsia="Arial"/>
          <w:color w:val="000000"/>
          <w:sz w:val="28"/>
          <w:szCs w:val="28"/>
        </w:rPr>
        <w:t>земельных участков,  расположенных на территории Усть-Погожинского сельского поселения</w:t>
      </w:r>
      <w:r>
        <w:rPr>
          <w:rFonts w:eastAsia="Arial"/>
          <w:color w:val="000000"/>
          <w:sz w:val="28"/>
          <w:szCs w:val="28"/>
        </w:rPr>
        <w:t>»</w:t>
      </w:r>
      <w:r>
        <w:rPr>
          <w:rFonts w:eastAsia="Arial"/>
          <w:color w:val="000000"/>
          <w:sz w:val="28"/>
          <w:szCs w:val="28"/>
        </w:rPr>
        <w:t xml:space="preserve"> юридическим лицам в собственность бесплатно» в следующей редакции: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«2.6.1.2 К заявлению о предварительном согласовании должны быть приложены следующие документы: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1) док</w:t>
      </w:r>
      <w:r>
        <w:rPr>
          <w:sz w:val="28"/>
          <w:szCs w:val="28"/>
        </w:rPr>
        <w:t xml:space="preserve">умент, удостоверяющий личность представителя заявителя (заявителей) (при личном обращении в уполномоченный орган), или копия документа, удостоверяющего личность представителя заявителя (в случае направления заявления посредством почтовой связи на бумажном </w:t>
      </w:r>
      <w:r>
        <w:rPr>
          <w:sz w:val="28"/>
          <w:szCs w:val="28"/>
        </w:rPr>
        <w:t>носителе).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 xml:space="preserve"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представителя заявителя в виде электронного образа </w:t>
      </w:r>
      <w:r>
        <w:rPr>
          <w:sz w:val="28"/>
          <w:szCs w:val="28"/>
        </w:rPr>
        <w:t>такого документа.</w:t>
      </w:r>
    </w:p>
    <w:p w:rsidR="00000000" w:rsidRDefault="0015363F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</w:t>
      </w:r>
      <w:r>
        <w:rPr>
          <w:sz w:val="28"/>
          <w:szCs w:val="28"/>
        </w:rPr>
        <w:t>исано усиленной квалифицированной электронной подписью;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2) документ, подтверждающий полномочия представителя заявителя (заявителей),  в случае если с заявлением обращается представитель заявителя;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В случае представления заявления в форме электронного докум</w:t>
      </w:r>
      <w:r>
        <w:rPr>
          <w:sz w:val="28"/>
          <w:szCs w:val="28"/>
        </w:rPr>
        <w:t>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 xml:space="preserve">3) схема расположения земельного участка в случае, если испрашиваемый земельный участок предстоит </w:t>
      </w:r>
      <w:r>
        <w:rPr>
          <w:sz w:val="28"/>
          <w:szCs w:val="28"/>
        </w:rPr>
        <w:t>образовать и отсутствует проект межевания территории, в границах которой предстоит образовать такой земельный участок;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4) документы, подтверждающие право заявителя на приобретение земельного участка без проведения торгов, в том числе: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а) для заявителей, ук</w:t>
      </w:r>
      <w:r>
        <w:rPr>
          <w:sz w:val="28"/>
          <w:szCs w:val="28"/>
        </w:rPr>
        <w:t>азанных в пункте 1.2.1 настоящего административного регламента: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договор о развитии застроенной территории;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б) для заявителей, указанных в пункте 1.2.2 настоящего административного регламента: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документ, удостоверяющий (устанавливающий) права заявителя на зд</w:t>
      </w:r>
      <w:r>
        <w:rPr>
          <w:sz w:val="28"/>
          <w:szCs w:val="28"/>
        </w:rPr>
        <w:t xml:space="preserve">ание, сооружение, если право на такое здание, сооружение не зарегистрировано в Едином  государственном реестре недвижимости (далее – ЕГРН); 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 xml:space="preserve">документ, удостоверяющий (устанавливающий) права заявителя на испрашиваемый земельный участок, если право на такой </w:t>
      </w:r>
      <w:r>
        <w:rPr>
          <w:sz w:val="28"/>
          <w:szCs w:val="28"/>
        </w:rPr>
        <w:t xml:space="preserve">земельный участок не зарегистрировано в ЕГРН (при наличии соответствующих прав на земельный участок); 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</w:t>
      </w:r>
      <w:r>
        <w:rPr>
          <w:sz w:val="28"/>
          <w:szCs w:val="28"/>
        </w:rPr>
        <w:t>(условных, инвентарных) номеров и адресных ориентиров зданий, сооружений, принадлежащих на соответствующем праве заявителю;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в) для заявителей, указанных в пункте 1.2.4 настоящего административного регламента: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документы, подтверждающие право на приобретение</w:t>
      </w:r>
      <w:r>
        <w:rPr>
          <w:sz w:val="28"/>
          <w:szCs w:val="28"/>
        </w:rPr>
        <w:t xml:space="preserve"> земельного участка, установленные законодательством Российской Федерации.»</w:t>
      </w:r>
    </w:p>
    <w:p w:rsidR="00000000" w:rsidRDefault="0015363F">
      <w:pPr>
        <w:ind w:firstLine="540"/>
        <w:jc w:val="both"/>
        <w:rPr>
          <w:sz w:val="28"/>
          <w:szCs w:val="28"/>
        </w:rPr>
      </w:pPr>
    </w:p>
    <w:p w:rsidR="00000000" w:rsidRDefault="0015363F">
      <w:pPr>
        <w:ind w:firstLine="540"/>
        <w:jc w:val="both"/>
      </w:pPr>
      <w:r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Изложить подпункт 2.6.3. пункта 2.6. административного регламента «Предоставление земельных участков, находящихся в муниципальной собственности Усть-Погожинского сельского по</w:t>
      </w:r>
      <w:r>
        <w:rPr>
          <w:rFonts w:eastAsia="Arial"/>
          <w:color w:val="000000"/>
          <w:sz w:val="28"/>
          <w:szCs w:val="28"/>
        </w:rPr>
        <w:t>селения, и земельных участков,  расположенных на территории Усть-Погожинского сельского поселения</w:t>
      </w:r>
      <w:r>
        <w:rPr>
          <w:rFonts w:eastAsia="Arial"/>
          <w:color w:val="000000"/>
          <w:sz w:val="28"/>
          <w:szCs w:val="28"/>
        </w:rPr>
        <w:t>»</w:t>
      </w:r>
      <w:r>
        <w:rPr>
          <w:rFonts w:eastAsia="Arial"/>
          <w:color w:val="000000"/>
          <w:sz w:val="28"/>
          <w:szCs w:val="28"/>
        </w:rPr>
        <w:t xml:space="preserve"> юридическим лицам в собственность бесплатно» в следующей редакции:</w:t>
      </w:r>
      <w:r>
        <w:rPr>
          <w:sz w:val="28"/>
          <w:szCs w:val="28"/>
        </w:rPr>
        <w:t xml:space="preserve"> 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« 2.6.3 Перечень документов (информации), которые заявитель вправе представить по собстве</w:t>
      </w:r>
      <w:r>
        <w:rPr>
          <w:sz w:val="28"/>
          <w:szCs w:val="28"/>
        </w:rPr>
        <w:t>нной инициативе.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1) для заявителей, указанных в пункте 1.2.1 настоящего административного регламента:</w:t>
      </w:r>
    </w:p>
    <w:p w:rsidR="00000000" w:rsidRDefault="0015363F">
      <w:pPr>
        <w:widowControl w:val="0"/>
        <w:ind w:firstLine="540"/>
        <w:jc w:val="both"/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а) </w:t>
      </w:r>
      <w:r>
        <w:rPr>
          <w:sz w:val="28"/>
          <w:szCs w:val="28"/>
        </w:rPr>
        <w:t>выписка из ЕГРН об объекте недвижимости (об испрашиваемом земельном участке);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б) утвержденный проект планировки и утвержденный проект межевания террито</w:t>
      </w:r>
      <w:r>
        <w:rPr>
          <w:sz w:val="28"/>
          <w:szCs w:val="28"/>
        </w:rPr>
        <w:t>рии;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в) выписка из Единого государственного реестра юридических лиц (далее – ЕГРЮЛ) о юридическом лице, являющемся заявителем;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2) для заявителей, указанных в пункте 1.2.2 настоящего административного регламента:</w:t>
      </w:r>
    </w:p>
    <w:p w:rsidR="00000000" w:rsidRDefault="0015363F">
      <w:pPr>
        <w:widowControl w:val="0"/>
        <w:ind w:firstLine="540"/>
        <w:jc w:val="both"/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а) </w:t>
      </w:r>
      <w:r>
        <w:rPr>
          <w:sz w:val="28"/>
          <w:szCs w:val="28"/>
        </w:rPr>
        <w:t>выписка из ЕГРН об объекте недвижимости (</w:t>
      </w:r>
      <w:r>
        <w:rPr>
          <w:sz w:val="28"/>
          <w:szCs w:val="28"/>
        </w:rPr>
        <w:t>об испрашиваемом земельном участке);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б) выписка из ЕГРЮЛ о юридическом лице, являющемся заявителем;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в) выписка из ЕГРН об объекте недвижимости (о здании и (или) сооружении, расположенном(ых) на испрашиваемом земельном участке);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3) для заявителей, указанных</w:t>
      </w:r>
      <w:r>
        <w:rPr>
          <w:sz w:val="28"/>
          <w:szCs w:val="28"/>
        </w:rPr>
        <w:t xml:space="preserve"> в пункте 1.2.3 настоящего административного регламента: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выписка из ЕГРН об объекте недвижимости (об испрашиваемом земельном участке);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4) для заявителей, указанных в пункте 1.2.4 настоящего административного регламента:</w:t>
      </w:r>
    </w:p>
    <w:p w:rsidR="00000000" w:rsidRDefault="0015363F">
      <w:pPr>
        <w:widowControl w:val="0"/>
        <w:ind w:firstLine="540"/>
        <w:jc w:val="both"/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а) </w:t>
      </w:r>
      <w:r>
        <w:rPr>
          <w:sz w:val="28"/>
          <w:szCs w:val="28"/>
        </w:rPr>
        <w:t>выписка из ЕГРН об объекте недвиж</w:t>
      </w:r>
      <w:r>
        <w:rPr>
          <w:sz w:val="28"/>
          <w:szCs w:val="28"/>
        </w:rPr>
        <w:t>имости (об испрашиваемом земельном участке);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б) выписка из ЕГРЮЛ о юридическом лице, являющемся заявителем.</w:t>
      </w:r>
    </w:p>
    <w:p w:rsidR="00000000" w:rsidRDefault="0015363F">
      <w:pPr>
        <w:widowControl w:val="0"/>
        <w:ind w:firstLine="540"/>
        <w:jc w:val="both"/>
      </w:pPr>
      <w:r>
        <w:rPr>
          <w:sz w:val="28"/>
          <w:szCs w:val="28"/>
        </w:rPr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</w:t>
      </w:r>
      <w:r>
        <w:rPr>
          <w:sz w:val="28"/>
          <w:szCs w:val="28"/>
        </w:rPr>
        <w:t>н самостоятельно запрашивает и получает в рамках межведомственного информационного взаимодействия.</w:t>
      </w:r>
    </w:p>
    <w:p w:rsidR="00000000" w:rsidRDefault="0015363F">
      <w:pPr>
        <w:ind w:firstLine="540"/>
        <w:jc w:val="both"/>
      </w:pPr>
      <w:r>
        <w:rPr>
          <w:sz w:val="28"/>
          <w:szCs w:val="28"/>
        </w:rPr>
        <w:t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</w:t>
      </w:r>
      <w:r>
        <w:rPr>
          <w:sz w:val="28"/>
          <w:szCs w:val="28"/>
        </w:rPr>
        <w:t>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</w:t>
      </w:r>
      <w:r>
        <w:rPr>
          <w:sz w:val="28"/>
          <w:szCs w:val="28"/>
        </w:rPr>
        <w:t>зовать. 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</w:t>
      </w:r>
      <w:r>
        <w:rPr>
          <w:sz w:val="28"/>
          <w:szCs w:val="28"/>
        </w:rPr>
        <w:t>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</w:t>
      </w:r>
      <w:r>
        <w:rPr>
          <w:sz w:val="28"/>
          <w:szCs w:val="28"/>
        </w:rPr>
        <w:t>ормационного взаимодействия».</w:t>
      </w:r>
    </w:p>
    <w:p w:rsidR="00000000" w:rsidRDefault="0015363F">
      <w:pPr>
        <w:widowControl w:val="0"/>
        <w:autoSpaceDE w:val="0"/>
        <w:ind w:firstLine="720"/>
        <w:jc w:val="both"/>
      </w:pPr>
      <w:hyperlink r:id="rId8" w:history="1"/>
    </w:p>
    <w:p w:rsidR="00000000" w:rsidRDefault="0015363F">
      <w:pPr>
        <w:spacing w:before="100" w:after="100"/>
        <w:jc w:val="both"/>
      </w:pPr>
      <w:r>
        <w:rPr>
          <w:rFonts w:eastAsia="Arial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разместить в информационной телекоммуникационной сети «Интернет» на официальном сайте Усть-Погожинского сельского поселения Дубовского муниципального района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http://усть-погожье34.рф/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:rsidR="00000000" w:rsidRDefault="0015363F">
      <w:pPr>
        <w:spacing w:before="100" w:after="100"/>
        <w:jc w:val="both"/>
      </w:pPr>
      <w:r>
        <w:rPr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в Реестре государственных и муниципальных услуг Волгоградской области сведения о внесённых изменениях  и дополнениях в муниципальную </w:t>
      </w:r>
      <w:r>
        <w:rPr>
          <w:b/>
          <w:sz w:val="28"/>
          <w:szCs w:val="28"/>
        </w:rPr>
        <w:t xml:space="preserve"> у</w:t>
      </w:r>
      <w:r>
        <w:rPr>
          <w:sz w:val="28"/>
          <w:szCs w:val="28"/>
        </w:rPr>
        <w:t xml:space="preserve">слугу </w:t>
      </w:r>
      <w:r>
        <w:rPr>
          <w:sz w:val="28"/>
          <w:szCs w:val="28"/>
        </w:rPr>
        <w:t>«Предоставление земельных участков, находящихся в муниципальной собствен</w:t>
      </w:r>
      <w:r>
        <w:rPr>
          <w:sz w:val="28"/>
          <w:szCs w:val="28"/>
        </w:rPr>
        <w:t>ности Усть-Погожинского сельского поселения, и земельных участков,  расположенных на территории Усть-Погожинского сельского поселения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в собственность бесплатно»</w:t>
      </w:r>
      <w:r>
        <w:rPr>
          <w:bCs/>
          <w:sz w:val="28"/>
          <w:szCs w:val="28"/>
        </w:rPr>
        <w:t>, предоставляемой (исполняемой) администрацией Усть-Погожинского сельского по</w:t>
      </w:r>
      <w:r>
        <w:rPr>
          <w:bCs/>
          <w:sz w:val="28"/>
          <w:szCs w:val="28"/>
        </w:rPr>
        <w:t>селения.</w:t>
      </w:r>
    </w:p>
    <w:p w:rsidR="00000000" w:rsidRDefault="0015363F">
      <w:pPr>
        <w:numPr>
          <w:ilvl w:val="0"/>
          <w:numId w:val="2"/>
        </w:numPr>
        <w:spacing w:before="100" w:after="100"/>
        <w:jc w:val="both"/>
      </w:pPr>
      <w:r>
        <w:rPr>
          <w:bCs/>
          <w:sz w:val="28"/>
          <w:szCs w:val="28"/>
        </w:rPr>
        <w:t>Настоящее Постановление подлежит обнародованию.</w:t>
      </w:r>
    </w:p>
    <w:p w:rsidR="00000000" w:rsidRDefault="0015363F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00000" w:rsidRDefault="0015363F">
      <w:pPr>
        <w:widowControl w:val="0"/>
        <w:autoSpaceDE w:val="0"/>
        <w:jc w:val="right"/>
      </w:pPr>
      <w:r>
        <w:rPr>
          <w:sz w:val="28"/>
          <w:szCs w:val="28"/>
        </w:rPr>
        <w:t xml:space="preserve">                                        </w:t>
      </w:r>
    </w:p>
    <w:p w:rsidR="00000000" w:rsidRDefault="0015363F">
      <w:pPr>
        <w:autoSpaceDE w:val="0"/>
        <w:rPr>
          <w:sz w:val="28"/>
          <w:szCs w:val="28"/>
        </w:rPr>
      </w:pPr>
    </w:p>
    <w:p w:rsidR="00000000" w:rsidRDefault="0015363F">
      <w:pPr>
        <w:widowControl w:val="0"/>
        <w:autoSpaceDE w:val="0"/>
        <w:rPr>
          <w:sz w:val="28"/>
          <w:szCs w:val="28"/>
        </w:rPr>
      </w:pPr>
      <w:hyperlink r:id="rId9" w:history="1"/>
    </w:p>
    <w:p w:rsidR="00000000" w:rsidRDefault="0015363F">
      <w:pPr>
        <w:tabs>
          <w:tab w:val="left" w:pos="360"/>
        </w:tabs>
        <w:suppressAutoHyphens w:val="0"/>
        <w:jc w:val="both"/>
      </w:pPr>
      <w:hyperlink r:id="rId10" w:history="1"/>
    </w:p>
    <w:p w:rsidR="00000000" w:rsidRDefault="0015363F">
      <w:pPr>
        <w:tabs>
          <w:tab w:val="left" w:pos="360"/>
        </w:tabs>
        <w:suppressAutoHyphens w:val="0"/>
        <w:jc w:val="both"/>
      </w:pPr>
      <w:hyperlink r:id="rId11" w:history="1">
        <w:r>
          <w:rPr>
            <w:rStyle w:val="Hyperlink"/>
            <w:color w:val="000000"/>
            <w:sz w:val="28"/>
            <w:szCs w:val="28"/>
            <w:u w:val="none"/>
            <w:lang w:eastAsia="en-US"/>
          </w:rPr>
          <w:t>Г</w:t>
        </w:r>
        <w:r>
          <w:rPr>
            <w:rStyle w:val="Hyperlink"/>
            <w:color w:val="000000"/>
            <w:sz w:val="28"/>
            <w:szCs w:val="28"/>
            <w:u w:val="none"/>
            <w:lang w:eastAsia="en-US"/>
          </w:rPr>
          <w:t>лав</w:t>
        </w:r>
        <w:r>
          <w:rPr>
            <w:rStyle w:val="Hyperlink"/>
            <w:color w:val="000000"/>
            <w:sz w:val="28"/>
            <w:szCs w:val="28"/>
            <w:u w:val="none"/>
            <w:lang w:eastAsia="en-US"/>
          </w:rPr>
          <w:t>а</w:t>
        </w:r>
        <w:r>
          <w:rPr>
            <w:rStyle w:val="Hyperlink"/>
            <w:color w:val="000000"/>
            <w:sz w:val="28"/>
            <w:szCs w:val="28"/>
            <w:u w:val="none"/>
            <w:lang w:eastAsia="en-US"/>
          </w:rPr>
          <w:t xml:space="preserve"> Усть-Погожинского</w:t>
        </w:r>
      </w:hyperlink>
    </w:p>
    <w:p w:rsidR="00000000" w:rsidRDefault="0015363F">
      <w:pPr>
        <w:widowControl w:val="0"/>
        <w:tabs>
          <w:tab w:val="left" w:pos="360"/>
        </w:tabs>
        <w:suppressAutoHyphens w:val="0"/>
        <w:autoSpaceDE w:val="0"/>
        <w:jc w:val="both"/>
      </w:pPr>
      <w:hyperlink r:id="rId12" w:history="1">
        <w:r>
          <w:rPr>
            <w:rStyle w:val="Hyperlink"/>
            <w:color w:val="000000"/>
            <w:sz w:val="28"/>
            <w:szCs w:val="28"/>
            <w:u w:val="none"/>
            <w:lang w:eastAsia="ru-RU"/>
          </w:rPr>
          <w:t>сельского поселения:                                                     Э</w:t>
        </w:r>
        <w:r>
          <w:rPr>
            <w:rStyle w:val="Hyperlink"/>
            <w:color w:val="000000"/>
            <w:sz w:val="28"/>
            <w:szCs w:val="28"/>
            <w:u w:val="none"/>
            <w:lang w:val="en-US" w:eastAsia="ru-RU"/>
          </w:rPr>
          <w:t>.А. Сулейман</w:t>
        </w:r>
        <w:r>
          <w:rPr>
            <w:rStyle w:val="Hyperlink"/>
            <w:color w:val="000000"/>
            <w:sz w:val="28"/>
            <w:szCs w:val="28"/>
            <w:u w:val="none"/>
            <w:lang w:eastAsia="ru-RU"/>
          </w:rPr>
          <w:t>ов</w:t>
        </w:r>
      </w:hyperlink>
    </w:p>
    <w:sectPr w:rsidR="00000000">
      <w:headerReference w:type="default" r:id="rId13"/>
      <w:pgSz w:w="11906" w:h="16838"/>
      <w:pgMar w:top="1077" w:right="1134" w:bottom="90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363F">
      <w:r>
        <w:separator/>
      </w:r>
    </w:p>
  </w:endnote>
  <w:endnote w:type="continuationSeparator" w:id="0">
    <w:p w:rsidR="00000000" w:rsidRDefault="0015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363F">
      <w:r>
        <w:separator/>
      </w:r>
    </w:p>
  </w:footnote>
  <w:footnote w:type="continuationSeparator" w:id="0">
    <w:p w:rsidR="00000000" w:rsidRDefault="0015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363F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top:0;mso-wrap-distance-right:0;mso-wrap-distance-bottom:0;mso-position-horizontal:center;mso-position-horizontal-relative:margin;mso-position-vertical:absolute;mso-position-vertical-relative:text" stroked="f">
          <v:fill opacity="0" color2="black"/>
          <v:textbox inset=".15pt,.15pt,.15pt,.15pt">
            <w:txbxContent>
              <w:p w:rsidR="00000000" w:rsidRDefault="0015363F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3F"/>
    <w:rsid w:val="001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E774C7F-3AC6-4723-9F78-0A724770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">
    <w:name w:val="Основной шрифт абзаца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styleId="PageNumber">
    <w:name w:val="page number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13">
    <w:name w:val="Обычный +13 пт Знак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Pr>
      <w:rFonts w:cs="Times New Roman"/>
      <w:color w:val="000000"/>
    </w:rPr>
  </w:style>
  <w:style w:type="character" w:customStyle="1" w:styleId="snippetequal">
    <w:name w:val="snippet_equal"/>
    <w:basedOn w:val="a"/>
  </w:style>
  <w:style w:type="character" w:customStyle="1" w:styleId="blk">
    <w:name w:val="blk"/>
  </w:style>
  <w:style w:type="character" w:customStyle="1" w:styleId="a0">
    <w:name w:val="Гипертекстовая ссылка"/>
    <w:rPr>
      <w:b/>
      <w:bCs/>
      <w:color w:val="106BBE"/>
      <w:sz w:val="26"/>
      <w:szCs w:val="26"/>
    </w:rPr>
  </w:style>
  <w:style w:type="character" w:customStyle="1" w:styleId="a1">
    <w:name w:val="Символ концевой сноски"/>
    <w:rPr>
      <w:vertAlign w:val="superscript"/>
    </w:rPr>
  </w:style>
  <w:style w:type="character" w:customStyle="1" w:styleId="a2">
    <w:name w:val="Символ сноски"/>
    <w:rPr>
      <w:vertAlign w:val="superscript"/>
    </w:rPr>
  </w:style>
  <w:style w:type="character" w:customStyle="1" w:styleId="a3">
    <w:name w:val=" Знак Знак"/>
    <w:basedOn w:val="a"/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a4">
    <w:name w:val="Знак Знак"/>
    <w:basedOn w:val="a"/>
  </w:style>
  <w:style w:type="character" w:customStyle="1" w:styleId="ListLabel14">
    <w:name w:val="ListLabel 14"/>
    <w:rPr>
      <w:rFonts w:ascii="Arial" w:eastAsia="Arial" w:hAnsi="Arial" w:cs="Arial"/>
      <w:sz w:val="24"/>
      <w:szCs w:val="24"/>
      <w:u w:val="none"/>
      <w:lang w:val="en-US"/>
    </w:rPr>
  </w:style>
  <w:style w:type="character" w:customStyle="1" w:styleId="ListLabel13">
    <w:name w:val="ListLabel 13"/>
    <w:rPr>
      <w:rFonts w:ascii="Arial" w:eastAsia="Arial" w:hAnsi="Arial" w:cs="Arial"/>
      <w:sz w:val="24"/>
      <w:szCs w:val="24"/>
      <w:u w:val="none"/>
    </w:rPr>
  </w:style>
  <w:style w:type="character" w:customStyle="1" w:styleId="ListLabel12">
    <w:name w:val="ListLabel 12"/>
    <w:rPr>
      <w:rFonts w:eastAsia="Arial"/>
      <w:szCs w:val="24"/>
    </w:rPr>
  </w:style>
  <w:style w:type="character" w:customStyle="1" w:styleId="ListLabel11">
    <w:name w:val="ListLabel 11"/>
    <w:rPr>
      <w:rFonts w:eastAsia="Arial"/>
      <w:szCs w:val="24"/>
      <w:lang w:eastAsia="en-US"/>
    </w:rPr>
  </w:style>
  <w:style w:type="character" w:customStyle="1" w:styleId="ListLabel10">
    <w:name w:val="ListLabel 10"/>
    <w:rPr>
      <w:rFonts w:ascii="Arial" w:eastAsia="Arial" w:hAnsi="Arial" w:cs="Arial"/>
      <w:sz w:val="24"/>
      <w:szCs w:val="24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BalloonTextChar">
    <w:name w:val="Balloon Text Char"/>
    <w:rPr>
      <w:rFonts w:eastAsia="Times New Roman"/>
      <w:sz w:val="0"/>
      <w:szCs w:val="0"/>
    </w:rPr>
  </w:style>
  <w:style w:type="character" w:customStyle="1" w:styleId="BodyTextChar">
    <w:name w:val="Body Text Char"/>
    <w:rPr>
      <w:rFonts w:eastAsia="Times New Roman"/>
      <w:lang w:eastAsia="ru-RU"/>
    </w:rPr>
  </w:style>
  <w:style w:type="character" w:customStyle="1" w:styleId="FontStyle22">
    <w:name w:val="Font Style22"/>
    <w:rPr>
      <w:rFonts w:ascii="Times New Roman" w:hAnsi="Times New Roman" w:cs="Times New Roman"/>
      <w:b/>
      <w:spacing w:val="-10"/>
      <w:szCs w:val="22"/>
    </w:rPr>
  </w:style>
  <w:style w:type="character" w:styleId="DefaultParagraphFont0">
    <w:name w:val="Default Paragraph Font"/>
  </w:style>
  <w:style w:type="paragraph" w:customStyle="1" w:styleId="a5">
    <w:name w:val="Заголовок"/>
    <w:basedOn w:val="Normal"/>
    <w:next w:val="BodyText"/>
    <w:pPr>
      <w:keepLines/>
      <w:widowControl w:val="0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Указатель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709"/>
      <w:jc w:val="both"/>
    </w:pPr>
    <w:rPr>
      <w:b/>
      <w:sz w:val="24"/>
    </w:rPr>
  </w:style>
  <w:style w:type="paragraph" w:customStyle="1" w:styleId="a7">
    <w:name w:val="Цитата"/>
    <w:basedOn w:val="Normal"/>
    <w:pPr>
      <w:ind w:left="3969" w:right="-738" w:firstLine="851"/>
    </w:pPr>
    <w:rPr>
      <w:b/>
      <w:sz w:val="28"/>
    </w:rPr>
  </w:style>
  <w:style w:type="paragraph" w:customStyle="1" w:styleId="2">
    <w:name w:val="Основной текст с отступом 2"/>
    <w:basedOn w:val="Normal"/>
    <w:pPr>
      <w:ind w:left="4395"/>
    </w:pPr>
    <w:rPr>
      <w:b/>
      <w:sz w:val="28"/>
    </w:rPr>
  </w:style>
  <w:style w:type="paragraph" w:customStyle="1" w:styleId="20">
    <w:name w:val="Основной текст 2"/>
    <w:basedOn w:val="Normal"/>
    <w:pPr>
      <w:ind w:right="-286"/>
      <w:jc w:val="both"/>
    </w:pPr>
    <w:rPr>
      <w:b/>
      <w:sz w:val="28"/>
    </w:rPr>
  </w:style>
  <w:style w:type="paragraph" w:customStyle="1" w:styleId="a8">
    <w:name w:val="Текст выноски"/>
    <w:basedOn w:val="Normal"/>
    <w:rPr>
      <w:rFonts w:ascii="Tahoma" w:hAnsi="Tahoma" w:cs="Tahoma"/>
      <w:sz w:val="16"/>
      <w:szCs w:val="16"/>
    </w:rPr>
  </w:style>
  <w:style w:type="paragraph" w:customStyle="1" w:styleId="a9">
    <w:name w:val="Абзац списка"/>
    <w:basedOn w:val="Normal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pPr>
      <w:suppressAutoHyphens/>
      <w:autoSpaceDE w:val="0"/>
    </w:pPr>
    <w:rPr>
      <w:rFonts w:ascii="Arial" w:hAnsi="Arial" w:cs="Arial"/>
      <w:lang w:val="ru-RU" w:eastAsia="zh-CN"/>
    </w:rPr>
  </w:style>
  <w:style w:type="paragraph" w:customStyle="1" w:styleId="aa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Normal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zh-CN"/>
    </w:rPr>
  </w:style>
  <w:style w:type="paragraph" w:customStyle="1" w:styleId="1">
    <w:name w:val="Знак Знак Знак Знак1"/>
    <w:basedOn w:val="Normal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b">
    <w:name w:val="Без интервала"/>
    <w:pPr>
      <w:suppressAutoHyphens/>
    </w:pPr>
    <w:rPr>
      <w:sz w:val="24"/>
      <w:szCs w:val="24"/>
      <w:lang w:val="ru-RU" w:eastAsia="zh-CN"/>
    </w:rPr>
  </w:style>
  <w:style w:type="paragraph" w:customStyle="1" w:styleId="consplusnormal1">
    <w:name w:val="consplusnormal"/>
    <w:basedOn w:val="Normal"/>
    <w:pPr>
      <w:autoSpaceDE w:val="0"/>
    </w:pPr>
    <w:rPr>
      <w:rFonts w:ascii="Arial" w:hAnsi="Arial" w:cs="Arial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val="ru-RU" w:eastAsia="zh-CN"/>
    </w:rPr>
  </w:style>
  <w:style w:type="paragraph" w:customStyle="1" w:styleId="ac">
    <w:name w:val="Знак"/>
    <w:basedOn w:val="Normal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val="ru-RU" w:eastAsia="zh-CN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</w:style>
  <w:style w:type="paragraph" w:customStyle="1" w:styleId="ad">
    <w:name w:val="Содержимое врезки"/>
    <w:basedOn w:val="Normal"/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 w:cs="Liberation Serif"/>
      <w:kern w:val="2"/>
      <w:sz w:val="24"/>
      <w:szCs w:val="24"/>
      <w:lang w:val="ru-RU" w:eastAsia="ru-RU" w:bidi="hi-I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eastAsia="Arial" w:cs="Liberation Serif"/>
      <w:color w:val="000000"/>
      <w:kern w:val="2"/>
      <w:sz w:val="24"/>
      <w:szCs w:val="24"/>
      <w:lang w:val="ru-RU" w:eastAsia="hi-IN" w:bidi="hi-IN"/>
    </w:rPr>
  </w:style>
  <w:style w:type="paragraph" w:customStyle="1" w:styleId="Style2">
    <w:name w:val="Style2"/>
    <w:basedOn w:val="Normal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002C6F7BE76B4C1B935739C03B633F13824C2E8663BAE04664D44477W9zFM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1556</Words>
  <Characters>8875</Characters>
  <Application>Microsoft Office Word</Application>
  <DocSecurity>4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word</cp:lastModifiedBy>
  <cp:revision>2</cp:revision>
  <cp:lastPrinted>2021-06-24T19:16:00Z</cp:lastPrinted>
  <dcterms:created xsi:type="dcterms:W3CDTF">2021-06-25T12:50:00Z</dcterms:created>
  <dcterms:modified xsi:type="dcterms:W3CDTF">2021-06-25T12:50:00Z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